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52E7D"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资质与经营稳定性 100分 </w:t>
      </w:r>
      <w:bookmarkStart w:id="0" w:name="_GoBack"/>
      <w:bookmarkEnd w:id="0"/>
    </w:p>
    <w:p w14:paraId="513E03FC">
      <w:pPr>
        <w:numPr>
          <w:numId w:val="0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 证照合法性：养老机构备案证明、食品经营许可证、医疗机构执业许可证（若有）。 2. 经营风险：是否存在重大负面舆情、行政处罚、资金链断裂风险。 3. 合同规范性：是否签署正式服务合同，权责清晰，费用按月收取且变动需提前告知。 一票否决项：若无备案或存在虐老事件，直接评定为不合格。经营不稳定（如频繁更换法人）需重点扣分。</w:t>
      </w:r>
    </w:p>
    <w:p w14:paraId="3369759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二、服务理念与人文关怀 150分 </w:t>
      </w:r>
    </w:p>
    <w:p w14:paraId="6A097E1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 服务理念：是否以长者需求为中心，尊重隐私与选择权，而非仅流于管理方便。 2. 心理支持：是否配备社工或心理咨询人员，定期开展情绪疏导与精神慰藉。 3. 权益保障：是否设立投诉渠道并记录处理，保护老人个人信息。 核心加分项：考察“温暖度”。重点询问在住老人是否感受到尊重与关怀，是否有归属感。</w:t>
      </w:r>
    </w:p>
    <w:p w14:paraId="6549C810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三、硬件与环境安全 200分 </w:t>
      </w:r>
    </w:p>
    <w:p w14:paraId="6CBD773B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 无障碍与适老化：出入口坡道、走廊扶手、防滑地面、无障碍电梯。 2. 居室与空间：采光通风、室温调控、紧急呼叫铃覆盖率、床位空间合理性。 3. 周边配套：距离医疗机构是否在30分钟车程内，便于急救。 按国家标准《养老机构等级划分与评定》环境部分打分。重点检查卫生间与洗浴空间的防滑及助浴设施。</w:t>
      </w:r>
    </w:p>
    <w:p w14:paraId="7F6BC1A0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四、安全管理与风险防控 200分 </w:t>
      </w:r>
    </w:p>
    <w:p w14:paraId="6E609B5B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 跌倒防控：是否使用跌倒风险评估工具（如Morse量表），每日进行跌倒风险检查。 2. 消防与食品：消防设施完好、疏散通道畅通；食品留样48小时，生熟分开。 3. 应急演练：是否定期组织防走失、噎食、猝死等突发事件演练。 抽查应急预案及近期演练记录。跌倒是扣分重灾区，需查看巡查记录表。</w:t>
      </w:r>
    </w:p>
    <w:p w14:paraId="3C6D26E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五、服务提供质量 250分 </w:t>
      </w:r>
    </w:p>
    <w:p w14:paraId="1DBD90F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 入院评估：是否在入住时进行综合能力评估（含生理、心理、社交），并据此制定个人照护计划，且每半年复评。 2. 生活照料：24小时服务，护理员是否熟知每位老人的姓名、爱好及照护重点。 3. 医疗与康复：内设医务室或与医院签约，提供慢病管理、药品代管、康复训练服务。 4. 膳食服务：是否公布每周食谱，针对糖尿病、痛风、鼻饲等有特殊餐食。 最高权重项。重点核查评估报告与照护计划是否对应。随机抽查3-5位老人，核对实际服务与计划是否一致。</w:t>
      </w:r>
    </w:p>
    <w:p w14:paraId="18AF894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六、运营管理效能 100分 </w:t>
      </w:r>
    </w:p>
    <w:p w14:paraId="0C04FE4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1. 人员配置：护理员与失能老人配比是否合规，持证上岗率，定期培训记录。 2. 财务透明：收费项目公开透明，无隐性消费。 3. 评价与改进：是否每年开展老人满意度调查，并根据反馈进行整改。 查看员工社保缴纳记录与培训档案。人员流动率过高的机构需警惕服务质量波动。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DD93">
    <w:pPr>
      <w:pStyle w:val="3"/>
      <w:jc w:val="center"/>
      <w:rPr>
        <w:rFonts w:hint="default" w:eastAsiaTheme="minorEastAsia"/>
        <w:sz w:val="30"/>
        <w:szCs w:val="30"/>
        <w:lang w:val="en-US" w:eastAsia="zh-CN"/>
      </w:rPr>
    </w:pPr>
    <w:r>
      <w:rPr>
        <w:rFonts w:hint="eastAsia"/>
        <w:sz w:val="30"/>
        <w:szCs w:val="30"/>
        <w:lang w:val="en-US" w:eastAsia="zh-CN"/>
      </w:rPr>
      <w:t>养老机构综合评估信息情况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4AEE3A"/>
    <w:multiLevelType w:val="singleLevel"/>
    <w:tmpl w:val="104AEE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F2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2026-08-07T06:54:54Z</dcterms:created>
  <dc:creator>Bingyou</dc:creator>
  <cp:lastModifiedBy>笑看人生</cp:lastModifiedBy>
  <dcterms:modified xsi:type="dcterms:W3CDTF">2026-08-07T06:57:37Z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eyJoZGlkIjoiNzFhZTcyNGY1MmIzZjhkOWVjY2VmNTQ0YjhhY2FhNWEiLCJ1c2VySWQiOiI5NzY3NjczNTgifQ==</vt:lpwstr>
  </property>
  <property fmtid="{D5CDD505-2E9C-101B-9397-08002B2CF9AE}" pid="4" name="ICV">
    <vt:lpwstr>D4B534B0CC624E799EA7A026A2819F9D_12</vt:lpwstr>
  </property>
</Properties>
</file>