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52"/>
          <w:szCs w:val="52"/>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52"/>
          <w:szCs w:val="52"/>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52"/>
          <w:szCs w:val="52"/>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52"/>
          <w:szCs w:val="52"/>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52"/>
          <w:szCs w:val="52"/>
          <w:lang w:val="en-US" w:eastAsia="zh-CN"/>
        </w:rPr>
      </w:pPr>
      <w:r>
        <w:rPr>
          <w:rFonts w:hint="eastAsia" w:ascii="Helvetica" w:hAnsi="Helvetica" w:eastAsia="宋体" w:cs="Helvetica"/>
          <w:b/>
          <w:bCs/>
          <w:i w:val="0"/>
          <w:iCs w:val="0"/>
          <w:caps w:val="0"/>
          <w:color w:val="auto"/>
          <w:spacing w:val="0"/>
          <w:sz w:val="52"/>
          <w:szCs w:val="52"/>
          <w:lang w:val="en-US" w:eastAsia="zh-CN"/>
        </w:rPr>
        <w:t>通山县南林桥工业集聚区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default" w:ascii="Helvetica" w:hAnsi="Helvetica" w:eastAsia="Helvetica" w:cs="Helvetica"/>
          <w:b/>
          <w:bCs/>
          <w:i w:val="0"/>
          <w:iCs w:val="0"/>
          <w:caps w:val="0"/>
          <w:color w:val="auto"/>
          <w:spacing w:val="0"/>
          <w:sz w:val="52"/>
          <w:szCs w:val="52"/>
        </w:rPr>
      </w:pPr>
      <w:r>
        <w:rPr>
          <w:rFonts w:hint="default" w:ascii="Times New Roman" w:hAnsi="Times New Roman" w:eastAsia="宋体" w:cs="Times New Roman"/>
          <w:b w:val="0"/>
          <w:bCs w:val="0"/>
          <w:i w:val="0"/>
          <w:iCs w:val="0"/>
          <w:caps w:val="0"/>
          <w:color w:val="auto"/>
          <w:spacing w:val="0"/>
          <w:sz w:val="52"/>
          <w:szCs w:val="52"/>
          <w:lang w:val="en-US" w:eastAsia="zh-CN"/>
        </w:rPr>
        <w:t>202</w:t>
      </w:r>
      <w:r>
        <w:rPr>
          <w:rFonts w:hint="eastAsia" w:ascii="Times New Roman" w:hAnsi="Times New Roman" w:eastAsia="宋体" w:cs="Times New Roman"/>
          <w:b w:val="0"/>
          <w:bCs w:val="0"/>
          <w:i w:val="0"/>
          <w:iCs w:val="0"/>
          <w:caps w:val="0"/>
          <w:color w:val="auto"/>
          <w:spacing w:val="0"/>
          <w:sz w:val="52"/>
          <w:szCs w:val="52"/>
          <w:lang w:val="en-US" w:eastAsia="zh-CN"/>
        </w:rPr>
        <w:t>5</w:t>
      </w:r>
      <w:r>
        <w:rPr>
          <w:rFonts w:hint="eastAsia" w:ascii="Helvetica" w:hAnsi="Helvetica" w:eastAsia="宋体" w:cs="Helvetica"/>
          <w:b/>
          <w:bCs/>
          <w:i w:val="0"/>
          <w:iCs w:val="0"/>
          <w:caps w:val="0"/>
          <w:color w:val="auto"/>
          <w:spacing w:val="0"/>
          <w:sz w:val="52"/>
          <w:szCs w:val="52"/>
          <w:lang w:val="en-US" w:eastAsia="zh-CN"/>
        </w:rPr>
        <w:t>年度环境质量公报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31" w:type="dxa"/>
            <w:tcBorders>
              <w:top w:val="nil"/>
              <w:left w:val="nil"/>
              <w:bottom w:val="nil"/>
              <w:right w:val="nil"/>
            </w:tcBorders>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distribute"/>
              <w:rPr>
                <w:rFonts w:hint="eastAsia" w:ascii="Helvetica" w:hAnsi="Helvetica" w:eastAsia="宋体" w:cs="Helvetica"/>
                <w:b/>
                <w:bCs/>
                <w:i w:val="0"/>
                <w:iCs w:val="0"/>
                <w:caps w:val="0"/>
                <w:color w:val="auto"/>
                <w:spacing w:val="0"/>
                <w:sz w:val="30"/>
                <w:szCs w:val="30"/>
                <w:vertAlign w:val="baseline"/>
                <w:lang w:val="en-US" w:eastAsia="zh-CN"/>
              </w:rPr>
            </w:pPr>
            <w:r>
              <w:rPr>
                <w:rFonts w:hint="eastAsia" w:ascii="Helvetica" w:hAnsi="Helvetica" w:eastAsia="宋体" w:cs="Helvetica"/>
                <w:b/>
                <w:bCs/>
                <w:i w:val="0"/>
                <w:iCs w:val="0"/>
                <w:caps w:val="0"/>
                <w:color w:val="auto"/>
                <w:spacing w:val="0"/>
                <w:sz w:val="30"/>
                <w:szCs w:val="30"/>
                <w:lang w:val="en-US" w:eastAsia="zh-CN"/>
              </w:rPr>
              <w:t>通山县经济开发区管理委员会</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eastAsia" w:ascii="Helvetica" w:hAnsi="Helvetica" w:eastAsia="宋体" w:cs="Helvetica"/>
          <w:b/>
          <w:bCs/>
          <w:i w:val="0"/>
          <w:iCs w:val="0"/>
          <w:caps w:val="0"/>
          <w:color w:val="auto"/>
          <w:spacing w:val="0"/>
          <w:sz w:val="36"/>
          <w:szCs w:val="36"/>
          <w:lang w:val="en-US" w:eastAsia="zh-CN"/>
        </w:rPr>
      </w:pPr>
    </w:p>
    <w:p>
      <w:pPr>
        <w:spacing w:line="720" w:lineRule="exact"/>
        <w:jc w:val="center"/>
        <w:rPr>
          <w:rFonts w:hint="default" w:ascii="方正小标宋简体" w:hAnsi="方正小标宋简体" w:eastAsia="方正小标宋简体" w:cs="方正小标宋简体"/>
          <w:sz w:val="44"/>
          <w:szCs w:val="44"/>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南林桥工业集聚区</w:t>
      </w:r>
      <w:r>
        <w:rPr>
          <w:rFonts w:hint="default" w:ascii="Times New Roman" w:hAnsi="Times New Roman" w:cs="Times New Roman"/>
          <w:sz w:val="24"/>
          <w:szCs w:val="24"/>
          <w:lang w:val="en-US" w:eastAsia="zh-CN"/>
        </w:rPr>
        <w:t>简介</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1.1南林桥工业集聚区介绍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根据国务院《关于进一步加强城市规划建设管理工作的若干意见》，通山县于2016年启动新一轮城市总体规划的修编工作，对通山县空间发展格局进行了进一步的优化。《湖北省通山县城市总体规划（2016-2030）》明确将将中心城区打造为县域第二产业发展的核心区，将南林桥镇打造为县域第二产业集聚区，形成中心城区——南林桥产业集聚发展带。南林桥镇为了更好地落实相关上位规划要求，科学地指导镇区建设发展，制定了《通山县南林桥镇镇区总体规划（2017-2030）》（后文简称《镇区总体规划》），并确定将工业用地、仓储物流用地布置于镇区通山大道以北，并向东延伸区域，打造通山县—南林桥镇工业发展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为进一步明确区域产业发展方向和产业布局，南林桥镇确定在《镇区总体规划》提出的工业、仓储物流用地集中区域成立“南林桥工业聚集区”。“南林桥工业聚集区”是通山县人民政府确定的县域第二产业发展重点区域和湖北通山经济开发区后续开展扩区调区工作的扩展区域，后续建设、管理将由湖北通山经济开发区统一开展。因此，湖北通山经济开发区管委会按照《咸宁市国民经济和社会发展</w:t>
      </w:r>
      <w:bookmarkStart w:id="6" w:name="_GoBack"/>
      <w:bookmarkEnd w:id="6"/>
      <w:r>
        <w:rPr>
          <w:rFonts w:hint="eastAsia" w:ascii="Times New Roman" w:hAnsi="Times New Roman" w:eastAsia="仿宋" w:cs="Times New Roman"/>
          <w:sz w:val="24"/>
          <w:szCs w:val="24"/>
          <w:lang w:val="en-US" w:eastAsia="zh-CN"/>
        </w:rPr>
        <w:t>“十三五”</w:t>
      </w:r>
      <w:r>
        <w:rPr>
          <w:rFonts w:hint="default" w:ascii="Times New Roman" w:hAnsi="Times New Roman" w:eastAsia="仿宋" w:cs="Times New Roman"/>
          <w:sz w:val="24"/>
          <w:szCs w:val="24"/>
          <w:lang w:val="en-US" w:eastAsia="zh-CN"/>
        </w:rPr>
        <w:t>规划》、《市人民政府关于加快产业振兴 全面构建现代化工业体系的实施意见》等规划政策要求，统筹考虑湖北通山经济开发区（中心城区核心产业区）——南林桥产业聚集区产业联动发展需求，制定南林桥产业聚集区总体规划。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20</w:t>
      </w:r>
      <w:r>
        <w:rPr>
          <w:rFonts w:hint="eastAsia" w:ascii="Times New Roman" w:hAnsi="Times New Roman" w:eastAsia="仿宋" w:cs="Times New Roman"/>
          <w:sz w:val="24"/>
          <w:szCs w:val="24"/>
          <w:lang w:val="en-US" w:eastAsia="zh-CN"/>
        </w:rPr>
        <w:t>20</w:t>
      </w:r>
      <w:r>
        <w:rPr>
          <w:rFonts w:hint="default" w:ascii="Times New Roman" w:hAnsi="Times New Roman" w:eastAsia="仿宋" w:cs="Times New Roman"/>
          <w:sz w:val="24"/>
          <w:szCs w:val="24"/>
          <w:lang w:val="en-US" w:eastAsia="zh-CN"/>
        </w:rPr>
        <w:t>年</w:t>
      </w:r>
      <w:r>
        <w:rPr>
          <w:rFonts w:hint="eastAsia" w:ascii="Times New Roman" w:hAnsi="Times New Roman" w:eastAsia="仿宋" w:cs="Times New Roman"/>
          <w:sz w:val="24"/>
          <w:szCs w:val="24"/>
          <w:lang w:val="en-US" w:eastAsia="zh-CN"/>
        </w:rPr>
        <w:t>湖北通山经济开发区管理委员会</w:t>
      </w:r>
      <w:r>
        <w:rPr>
          <w:rFonts w:hint="default" w:ascii="Times New Roman" w:hAnsi="Times New Roman" w:eastAsia="仿宋" w:cs="Times New Roman"/>
          <w:sz w:val="24"/>
          <w:szCs w:val="24"/>
          <w:lang w:val="en-US" w:eastAsia="zh-CN"/>
        </w:rPr>
        <w:t>委托</w:t>
      </w:r>
      <w:r>
        <w:rPr>
          <w:rFonts w:hint="eastAsia" w:ascii="Times New Roman" w:hAnsi="Times New Roman" w:eastAsia="仿宋" w:cs="Times New Roman"/>
          <w:sz w:val="24"/>
          <w:szCs w:val="24"/>
          <w:lang w:val="en-US" w:eastAsia="zh-CN"/>
        </w:rPr>
        <w:t>中南安全环境技术研究院股份有限公司</w:t>
      </w:r>
      <w:r>
        <w:rPr>
          <w:rFonts w:hint="default" w:ascii="Times New Roman" w:hAnsi="Times New Roman" w:eastAsia="仿宋" w:cs="Times New Roman"/>
          <w:sz w:val="24"/>
          <w:szCs w:val="24"/>
          <w:lang w:val="en-US" w:eastAsia="zh-CN"/>
        </w:rPr>
        <w:t>编制《</w:t>
      </w:r>
      <w:r>
        <w:rPr>
          <w:rFonts w:hint="eastAsia" w:ascii="Times New Roman" w:hAnsi="Times New Roman" w:eastAsia="仿宋" w:cs="Times New Roman"/>
          <w:sz w:val="24"/>
          <w:szCs w:val="24"/>
          <w:lang w:val="en-US" w:eastAsia="zh-CN"/>
        </w:rPr>
        <w:t>湖北通山县南林桥工业聚集区总体规划(2019-2030)环境影响报告书</w:t>
      </w:r>
      <w:r>
        <w:rPr>
          <w:rFonts w:hint="default" w:ascii="Times New Roman" w:hAnsi="Times New Roman" w:eastAsia="仿宋" w:cs="Times New Roman"/>
          <w:sz w:val="24"/>
          <w:szCs w:val="24"/>
          <w:lang w:val="en-US" w:eastAsia="zh-CN"/>
        </w:rPr>
        <w:t>》，20</w:t>
      </w:r>
      <w:r>
        <w:rPr>
          <w:rFonts w:hint="eastAsia" w:ascii="Times New Roman" w:hAnsi="Times New Roman" w:eastAsia="仿宋" w:cs="Times New Roman"/>
          <w:sz w:val="24"/>
          <w:szCs w:val="24"/>
          <w:lang w:val="en-US" w:eastAsia="zh-CN"/>
        </w:rPr>
        <w:t>20</w:t>
      </w:r>
      <w:r>
        <w:rPr>
          <w:rFonts w:hint="default" w:ascii="Times New Roman" w:hAnsi="Times New Roman" w:eastAsia="仿宋" w:cs="Times New Roman"/>
          <w:sz w:val="24"/>
          <w:szCs w:val="24"/>
          <w:lang w:val="en-US" w:eastAsia="zh-CN"/>
        </w:rPr>
        <w:t>年获得</w:t>
      </w:r>
      <w:r>
        <w:rPr>
          <w:rFonts w:hint="eastAsia" w:ascii="Times New Roman" w:hAnsi="Times New Roman" w:eastAsia="仿宋" w:cs="Times New Roman"/>
          <w:sz w:val="24"/>
          <w:szCs w:val="24"/>
          <w:lang w:val="en-US" w:eastAsia="zh-CN"/>
        </w:rPr>
        <w:t>咸宁市生态环境局</w:t>
      </w:r>
      <w:r>
        <w:rPr>
          <w:rFonts w:hint="default" w:ascii="Times New Roman" w:hAnsi="Times New Roman" w:eastAsia="仿宋" w:cs="Times New Roman"/>
          <w:sz w:val="24"/>
          <w:szCs w:val="24"/>
          <w:lang w:val="en-US" w:eastAsia="zh-CN"/>
        </w:rPr>
        <w:t>出具的《关于</w:t>
      </w:r>
      <w:r>
        <w:rPr>
          <w:rFonts w:hint="eastAsia" w:ascii="Times New Roman" w:hAnsi="Times New Roman" w:eastAsia="仿宋" w:cs="Times New Roman"/>
          <w:sz w:val="24"/>
          <w:szCs w:val="24"/>
          <w:lang w:val="en-US" w:eastAsia="zh-CN"/>
        </w:rPr>
        <w:t>湖北省南林桥工业集聚区</w:t>
      </w:r>
      <w:r>
        <w:rPr>
          <w:rFonts w:hint="default" w:ascii="Times New Roman" w:hAnsi="Times New Roman" w:eastAsia="仿宋" w:cs="Times New Roman"/>
          <w:sz w:val="24"/>
          <w:szCs w:val="24"/>
          <w:lang w:val="en-US" w:eastAsia="zh-CN"/>
        </w:rPr>
        <w:t>总体规划</w:t>
      </w:r>
      <w:r>
        <w:rPr>
          <w:rFonts w:hint="eastAsia" w:ascii="Times New Roman" w:hAnsi="Times New Roman" w:eastAsia="仿宋" w:cs="Times New Roman"/>
          <w:sz w:val="24"/>
          <w:szCs w:val="24"/>
          <w:lang w:val="en-US" w:eastAsia="zh-CN"/>
        </w:rPr>
        <w:t>(2019-2030)环境影响报告书审查意见的函</w:t>
      </w:r>
      <w:r>
        <w:rPr>
          <w:rFonts w:hint="default" w:ascii="Times New Roman" w:hAnsi="Times New Roman" w:eastAsia="仿宋" w:cs="Times New Roman"/>
          <w:sz w:val="24"/>
          <w:szCs w:val="24"/>
          <w:lang w:val="en-US" w:eastAsia="zh-CN"/>
        </w:rPr>
        <w:t>》（</w:t>
      </w:r>
      <w:r>
        <w:rPr>
          <w:rFonts w:hint="eastAsia" w:ascii="Times New Roman" w:hAnsi="Times New Roman" w:eastAsia="仿宋" w:cs="Times New Roman"/>
          <w:sz w:val="24"/>
          <w:szCs w:val="24"/>
          <w:lang w:val="en-US" w:eastAsia="zh-CN"/>
        </w:rPr>
        <w:t>咸环审</w:t>
      </w:r>
      <w:r>
        <w:rPr>
          <w:rFonts w:hint="default" w:ascii="Times New Roman" w:hAnsi="Times New Roman" w:eastAsia="仿宋" w:cs="Times New Roman"/>
          <w:sz w:val="24"/>
          <w:szCs w:val="24"/>
          <w:lang w:val="en-US" w:eastAsia="zh-CN"/>
        </w:rPr>
        <w:t>[20</w:t>
      </w:r>
      <w:r>
        <w:rPr>
          <w:rFonts w:hint="eastAsia" w:ascii="Times New Roman" w:hAnsi="Times New Roman" w:eastAsia="仿宋" w:cs="Times New Roman"/>
          <w:sz w:val="24"/>
          <w:szCs w:val="24"/>
          <w:lang w:val="en-US" w:eastAsia="zh-CN"/>
        </w:rPr>
        <w:t>20</w:t>
      </w:r>
      <w:r>
        <w:rPr>
          <w:rFonts w:hint="default" w:ascii="Times New Roman" w:hAnsi="Times New Roman" w:eastAsia="仿宋" w:cs="Times New Roman"/>
          <w:sz w:val="24"/>
          <w:szCs w:val="24"/>
          <w:lang w:val="en-US" w:eastAsia="zh-CN"/>
        </w:rPr>
        <w:t>]</w:t>
      </w:r>
      <w:r>
        <w:rPr>
          <w:rFonts w:hint="eastAsia" w:ascii="Times New Roman" w:hAnsi="Times New Roman" w:eastAsia="仿宋" w:cs="Times New Roman"/>
          <w:sz w:val="24"/>
          <w:szCs w:val="24"/>
          <w:lang w:val="en-US" w:eastAsia="zh-CN"/>
        </w:rPr>
        <w:t>70</w:t>
      </w:r>
      <w:r>
        <w:rPr>
          <w:rFonts w:hint="default" w:ascii="Times New Roman" w:hAnsi="Times New Roman" w:eastAsia="仿宋" w:cs="Times New Roman"/>
          <w:sz w:val="24"/>
          <w:szCs w:val="24"/>
          <w:lang w:val="en-US" w:eastAsia="zh-CN"/>
        </w:rPr>
        <w:t>号）</w:t>
      </w:r>
      <w:r>
        <w:rPr>
          <w:rFonts w:hint="eastAsia" w:ascii="Times New Roman" w:hAnsi="Times New Roman" w:eastAsia="仿宋" w:cs="Times New Roman"/>
          <w:sz w:val="24"/>
          <w:szCs w:val="24"/>
          <w:lang w:val="en-US" w:eastAsia="zh-CN"/>
        </w:rPr>
        <w:t>。</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b/>
          <w:sz w:val="24"/>
          <w:szCs w:val="24"/>
          <w:lang w:val="en-US" w:eastAsia="zh-CN"/>
        </w:rPr>
      </w:pPr>
      <w:r>
        <w:rPr>
          <w:rFonts w:hint="eastAsia" w:asciiTheme="majorEastAsia" w:hAnsiTheme="majorEastAsia" w:eastAsiaTheme="majorEastAsia" w:cstheme="majorEastAsia"/>
          <w:b/>
          <w:sz w:val="24"/>
          <w:szCs w:val="24"/>
          <w:lang w:val="en-US" w:eastAsia="zh-CN"/>
        </w:rPr>
        <w:t>1.2南林桥工业集聚区环境功能区划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依据《</w:t>
      </w:r>
      <w:r>
        <w:rPr>
          <w:rFonts w:hint="eastAsia" w:ascii="Times New Roman" w:hAnsi="Times New Roman" w:eastAsia="仿宋" w:cs="Times New Roman"/>
          <w:sz w:val="24"/>
          <w:szCs w:val="24"/>
          <w:lang w:val="en-US" w:eastAsia="zh-CN"/>
        </w:rPr>
        <w:t>湖北通山县南林桥工业聚集区总体规划(2019-2030)环境影响报告书</w:t>
      </w:r>
      <w:r>
        <w:rPr>
          <w:rFonts w:hint="default" w:ascii="Times New Roman" w:hAnsi="Times New Roman" w:eastAsia="仿宋" w:cs="Times New Roman"/>
          <w:sz w:val="24"/>
          <w:szCs w:val="24"/>
          <w:lang w:val="en-US" w:eastAsia="zh-CN"/>
        </w:rPr>
        <w:t>》及相关文件，湖北</w:t>
      </w:r>
      <w:r>
        <w:rPr>
          <w:rFonts w:hint="eastAsia" w:ascii="Times New Roman" w:hAnsi="Times New Roman" w:eastAsia="仿宋" w:cs="Times New Roman"/>
          <w:sz w:val="24"/>
          <w:szCs w:val="24"/>
          <w:lang w:val="en-US" w:eastAsia="zh-CN"/>
        </w:rPr>
        <w:t>通山县</w:t>
      </w:r>
      <w:r>
        <w:rPr>
          <w:rFonts w:hint="default" w:ascii="Times New Roman" w:hAnsi="Times New Roman" w:eastAsia="仿宋" w:cs="Times New Roman"/>
          <w:sz w:val="24"/>
          <w:szCs w:val="24"/>
          <w:lang w:val="en-US" w:eastAsia="zh-CN"/>
        </w:rPr>
        <w:t>经济开发区环境功能区划如下：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地表水环境：</w:t>
      </w:r>
      <w:r>
        <w:rPr>
          <w:rFonts w:hint="eastAsia" w:ascii="Times New Roman" w:hAnsi="Times New Roman" w:eastAsia="仿宋" w:cs="Times New Roman"/>
          <w:sz w:val="24"/>
          <w:szCs w:val="24"/>
          <w:lang w:val="en-US" w:eastAsia="zh-CN"/>
        </w:rPr>
        <w:t>通山县境内较大的河流有四条，分别为通羊河、犀港、宾兴会河、江桥墩河。通山县境内河流全部执行《地表水环境质量标准》（GB3838-2002）Ⅲ类标准。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大气环境：</w:t>
      </w:r>
      <w:r>
        <w:rPr>
          <w:rFonts w:hint="eastAsia" w:ascii="Times New Roman" w:hAnsi="Times New Roman" w:eastAsia="仿宋" w:cs="Times New Roman"/>
          <w:sz w:val="24"/>
          <w:szCs w:val="24"/>
          <w:lang w:val="en-US" w:eastAsia="zh-CN"/>
        </w:rPr>
        <w:t>南林桥工业聚集区以及周边地区环境空气执行《环境空气质量标准》（GB3095-2012）二级标准</w:t>
      </w:r>
      <w:r>
        <w:rPr>
          <w:rFonts w:hint="default" w:ascii="Times New Roman" w:hAnsi="Times New Roman" w:eastAsia="仿宋"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声环境：</w:t>
      </w:r>
      <w:r>
        <w:rPr>
          <w:rFonts w:hint="eastAsia" w:ascii="Times New Roman" w:hAnsi="Times New Roman" w:eastAsia="仿宋" w:cs="Times New Roman"/>
          <w:sz w:val="24"/>
          <w:szCs w:val="24"/>
          <w:lang w:val="en-US" w:eastAsia="zh-CN"/>
        </w:rPr>
        <w:t>南林桥工业聚集区以工业区为主，区域声环境功能区为3类区，执行《声环境质量标准》（GB3096－2008）3类标准；其中规划的综合生活区域声环境功能区为2类区，执行《声环境质量标准》（GB3096－2008）2类标准；主干道两侧范围执行4a类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地下水环境：规划范围内地下水应执行《地下水质量标准》（GB/T14848-2017）中Ⅲ类标准。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土壤环境：规划范围内土壤执行《土壤环境质量 建设用地土壤污染风险管控标准》（GB36600-2018）相应标准</w:t>
      </w:r>
      <w:r>
        <w:rPr>
          <w:rFonts w:hint="eastAsia" w:ascii="Times New Roman" w:hAnsi="Times New Roman" w:eastAsia="仿宋" w:cs="Times New Roman"/>
          <w:sz w:val="24"/>
          <w:szCs w:val="24"/>
          <w:lang w:val="en-US" w:eastAsia="zh-CN"/>
        </w:rPr>
        <w:t>。</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b/>
          <w:sz w:val="24"/>
          <w:szCs w:val="24"/>
          <w:lang w:val="en-US" w:eastAsia="zh-CN"/>
        </w:rPr>
      </w:pPr>
      <w:r>
        <w:rPr>
          <w:rFonts w:hint="eastAsia" w:asciiTheme="majorEastAsia" w:hAnsiTheme="majorEastAsia" w:eastAsiaTheme="majorEastAsia" w:cstheme="majorEastAsia"/>
          <w:b/>
          <w:sz w:val="24"/>
          <w:szCs w:val="24"/>
          <w:lang w:val="en-US" w:eastAsia="zh-CN"/>
        </w:rPr>
        <w:t>1.3南林桥工业集聚区环境质量监测开展情况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202</w:t>
      </w:r>
      <w:r>
        <w:rPr>
          <w:rFonts w:hint="eastAsia" w:ascii="Times New Roman" w:hAnsi="Times New Roman" w:eastAsia="仿宋" w:cs="Times New Roman"/>
          <w:sz w:val="24"/>
          <w:szCs w:val="24"/>
          <w:lang w:val="en-US" w:eastAsia="zh-CN"/>
        </w:rPr>
        <w:t>5</w:t>
      </w:r>
      <w:r>
        <w:rPr>
          <w:rFonts w:hint="default" w:ascii="Times New Roman" w:hAnsi="Times New Roman" w:eastAsia="仿宋" w:cs="Times New Roman"/>
          <w:sz w:val="24"/>
          <w:szCs w:val="24"/>
          <w:lang w:val="en-US" w:eastAsia="zh-CN"/>
        </w:rPr>
        <w:t>年度，开发区管委会委托</w:t>
      </w:r>
      <w:r>
        <w:rPr>
          <w:rFonts w:hint="eastAsia" w:ascii="Times New Roman" w:hAnsi="Times New Roman" w:eastAsia="仿宋" w:cs="Times New Roman"/>
          <w:sz w:val="24"/>
          <w:szCs w:val="24"/>
          <w:lang w:val="en-US" w:eastAsia="zh-CN"/>
        </w:rPr>
        <w:t>有资质单位</w:t>
      </w:r>
      <w:r>
        <w:rPr>
          <w:rFonts w:hint="default" w:ascii="Times New Roman" w:hAnsi="Times New Roman" w:eastAsia="仿宋" w:cs="Times New Roman"/>
          <w:sz w:val="24"/>
          <w:szCs w:val="24"/>
          <w:lang w:val="en-US" w:eastAsia="zh-CN"/>
        </w:rPr>
        <w:t>对开发区环境质量现状进行监测，监测内容包括环境空气、地表水、地下水</w:t>
      </w:r>
      <w:r>
        <w:rPr>
          <w:rFonts w:hint="eastAsia" w:ascii="Times New Roman" w:hAnsi="Times New Roman" w:eastAsia="仿宋" w:cs="Times New Roman"/>
          <w:sz w:val="24"/>
          <w:szCs w:val="24"/>
          <w:lang w:val="en-US" w:eastAsia="zh-CN"/>
        </w:rPr>
        <w:t>、土壤、噪声。</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b/>
          <w:bCs/>
          <w:sz w:val="24"/>
          <w:szCs w:val="24"/>
          <w:lang w:val="en-US" w:eastAsia="zh-CN"/>
        </w:rPr>
      </w:pPr>
      <w:r>
        <w:rPr>
          <w:rFonts w:hint="default" w:ascii="仿宋" w:hAnsi="仿宋" w:eastAsia="仿宋" w:cs="仿宋"/>
          <w:b/>
          <w:bCs/>
          <w:sz w:val="24"/>
          <w:szCs w:val="24"/>
          <w:lang w:val="en-US" w:eastAsia="zh-CN"/>
        </w:rPr>
        <w:t>表1-</w:t>
      </w: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 </w:t>
      </w:r>
      <w:r>
        <w:rPr>
          <w:rFonts w:hint="eastAsia" w:ascii="仿宋" w:hAnsi="仿宋" w:eastAsia="仿宋" w:cs="仿宋"/>
          <w:b/>
          <w:bCs/>
          <w:sz w:val="24"/>
          <w:szCs w:val="24"/>
          <w:lang w:val="en-US" w:eastAsia="zh-CN"/>
        </w:rPr>
        <w:t>南林桥工业集聚区2025年度</w:t>
      </w:r>
      <w:r>
        <w:rPr>
          <w:rFonts w:hint="default" w:ascii="仿宋" w:hAnsi="仿宋" w:eastAsia="仿宋" w:cs="仿宋"/>
          <w:b/>
          <w:bCs/>
          <w:sz w:val="24"/>
          <w:szCs w:val="24"/>
          <w:lang w:val="en-US" w:eastAsia="zh-CN"/>
        </w:rPr>
        <w:t>环境质量现状监测情况一览表</w:t>
      </w:r>
    </w:p>
    <w:tbl>
      <w:tblPr>
        <w:tblStyle w:val="9"/>
        <w:tblW w:w="4745" w:type="pct"/>
        <w:jc w:val="center"/>
        <w:tblBorders>
          <w:top w:val="outset" w:color="333333" w:sz="6" w:space="0"/>
          <w:left w:val="outset" w:color="333333" w:sz="6" w:space="0"/>
          <w:bottom w:val="single" w:color="333333" w:sz="6" w:space="0"/>
          <w:right w:val="single"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652"/>
        <w:gridCol w:w="2070"/>
        <w:gridCol w:w="1508"/>
        <w:gridCol w:w="1478"/>
        <w:gridCol w:w="2174"/>
      </w:tblGrid>
      <w:tr>
        <w:tblPrEx>
          <w:tblBorders>
            <w:top w:val="outset" w:color="333333" w:sz="6" w:space="0"/>
            <w:left w:val="outset"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414" w:type="pct"/>
            <w:tcBorders>
              <w:top w:val="single" w:color="000000" w:sz="12" w:space="0"/>
              <w:left w:val="nil"/>
              <w:bottom w:val="single" w:color="000000" w:sz="12" w:space="0"/>
              <w:right w:val="single" w:color="000000" w:sz="6" w:space="0"/>
            </w:tcBorders>
            <w:shd w:val="clear" w:color="auto" w:fill="FFFFFF"/>
            <w:tcMar>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bCs/>
                <w:sz w:val="21"/>
                <w:szCs w:val="21"/>
                <w:vertAlign w:val="baseline"/>
                <w:lang w:val="en-US" w:eastAsia="zh-CN"/>
              </w:rPr>
            </w:pPr>
            <w:r>
              <w:rPr>
                <w:rFonts w:hint="eastAsia" w:ascii="Times New Roman" w:hAnsi="Times New Roman" w:eastAsia="仿宋" w:cs="Times New Roman"/>
                <w:b/>
                <w:bCs/>
                <w:sz w:val="21"/>
                <w:szCs w:val="21"/>
                <w:vertAlign w:val="baseline"/>
                <w:lang w:val="en-US" w:eastAsia="zh-CN"/>
              </w:rPr>
              <w:t>环境要素</w:t>
            </w:r>
          </w:p>
        </w:tc>
        <w:tc>
          <w:tcPr>
            <w:tcW w:w="1312" w:type="pct"/>
            <w:tcBorders>
              <w:top w:val="single" w:color="000000" w:sz="12" w:space="0"/>
              <w:left w:val="single" w:color="000000" w:sz="6" w:space="0"/>
              <w:bottom w:val="single" w:color="000000" w:sz="12" w:space="0"/>
              <w:right w:val="single" w:color="000000" w:sz="6" w:space="0"/>
            </w:tcBorders>
            <w:shd w:val="clear" w:color="auto"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bCs/>
                <w:sz w:val="21"/>
                <w:szCs w:val="21"/>
                <w:vertAlign w:val="baseline"/>
                <w:lang w:val="en-US" w:eastAsia="zh-CN"/>
              </w:rPr>
            </w:pPr>
            <w:r>
              <w:rPr>
                <w:rFonts w:hint="eastAsia" w:ascii="Times New Roman" w:hAnsi="Times New Roman" w:eastAsia="仿宋" w:cs="Times New Roman"/>
                <w:b/>
                <w:bCs/>
                <w:sz w:val="21"/>
                <w:szCs w:val="21"/>
                <w:vertAlign w:val="baseline"/>
                <w:lang w:val="en-US" w:eastAsia="zh-CN"/>
              </w:rPr>
              <w:t>监测项目</w:t>
            </w:r>
          </w:p>
        </w:tc>
        <w:tc>
          <w:tcPr>
            <w:tcW w:w="956" w:type="pct"/>
            <w:tcBorders>
              <w:top w:val="single" w:color="000000" w:sz="12" w:space="0"/>
              <w:left w:val="single" w:color="000000" w:sz="6" w:space="0"/>
              <w:bottom w:val="single" w:color="000000" w:sz="12"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bCs/>
                <w:sz w:val="21"/>
                <w:szCs w:val="21"/>
                <w:vertAlign w:val="baseline"/>
                <w:lang w:val="en-US" w:eastAsia="zh-CN"/>
              </w:rPr>
            </w:pPr>
            <w:r>
              <w:rPr>
                <w:rFonts w:hint="eastAsia" w:ascii="Times New Roman" w:hAnsi="Times New Roman" w:eastAsia="仿宋" w:cs="Times New Roman"/>
                <w:b/>
                <w:bCs/>
                <w:sz w:val="21"/>
                <w:szCs w:val="21"/>
                <w:vertAlign w:val="baseline"/>
                <w:lang w:val="en-US" w:eastAsia="zh-CN"/>
              </w:rPr>
              <w:t>监测点位</w:t>
            </w:r>
          </w:p>
        </w:tc>
        <w:tc>
          <w:tcPr>
            <w:tcW w:w="937" w:type="pct"/>
            <w:tcBorders>
              <w:top w:val="single" w:color="000000" w:sz="12" w:space="0"/>
              <w:left w:val="single" w:color="000000" w:sz="6" w:space="0"/>
              <w:bottom w:val="single" w:color="000000" w:sz="12"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bCs/>
                <w:sz w:val="21"/>
                <w:szCs w:val="21"/>
                <w:vertAlign w:val="baseline"/>
                <w:lang w:val="en-US" w:eastAsia="zh-CN"/>
              </w:rPr>
            </w:pPr>
            <w:r>
              <w:rPr>
                <w:rFonts w:hint="eastAsia" w:ascii="Times New Roman" w:hAnsi="Times New Roman" w:eastAsia="仿宋" w:cs="Times New Roman"/>
                <w:b/>
                <w:bCs/>
                <w:sz w:val="21"/>
                <w:szCs w:val="21"/>
                <w:vertAlign w:val="baseline"/>
                <w:lang w:val="en-US" w:eastAsia="zh-CN"/>
              </w:rPr>
              <w:t>监测频次</w:t>
            </w:r>
          </w:p>
        </w:tc>
        <w:tc>
          <w:tcPr>
            <w:tcW w:w="1378" w:type="pct"/>
            <w:tcBorders>
              <w:top w:val="single" w:color="000000" w:sz="12" w:space="0"/>
              <w:left w:val="single" w:color="000000" w:sz="6" w:space="0"/>
              <w:bottom w:val="single" w:color="000000" w:sz="12"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b/>
                <w:bCs/>
                <w:sz w:val="21"/>
                <w:szCs w:val="21"/>
                <w:vertAlign w:val="baseline"/>
                <w:lang w:val="en-US" w:eastAsia="zh-CN"/>
              </w:rPr>
            </w:pPr>
            <w:r>
              <w:rPr>
                <w:rFonts w:hint="eastAsia" w:ascii="Times New Roman" w:hAnsi="Times New Roman" w:eastAsia="仿宋" w:cs="Times New Roman"/>
                <w:b/>
                <w:bCs/>
                <w:sz w:val="21"/>
                <w:szCs w:val="21"/>
                <w:vertAlign w:val="baseline"/>
                <w:lang w:val="en-US" w:eastAsia="zh-CN"/>
              </w:rPr>
              <w:t>执行标准</w:t>
            </w:r>
          </w:p>
        </w:tc>
      </w:tr>
      <w:tr>
        <w:tblPrEx>
          <w:tblBorders>
            <w:top w:val="outset" w:color="333333" w:sz="6" w:space="0"/>
            <w:left w:val="outset" w:color="333333"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414" w:type="pct"/>
            <w:tcBorders>
              <w:top w:val="single" w:color="000000" w:sz="12" w:space="0"/>
              <w:left w:val="nil"/>
              <w:bottom w:val="single" w:color="000000" w:sz="6" w:space="0"/>
              <w:right w:val="single" w:color="000000" w:sz="6" w:space="0"/>
            </w:tcBorders>
            <w:shd w:val="clear" w:color="auto" w:fill="FFFFFF"/>
            <w:tcMar>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大气环境</w:t>
            </w:r>
          </w:p>
        </w:tc>
        <w:tc>
          <w:tcPr>
            <w:tcW w:w="1312" w:type="pct"/>
            <w:tcBorders>
              <w:top w:val="single" w:color="000000" w:sz="12" w:space="0"/>
              <w:left w:val="single" w:color="000000" w:sz="6" w:space="0"/>
              <w:bottom w:val="single" w:color="000000" w:sz="6" w:space="0"/>
              <w:right w:val="single" w:color="000000" w:sz="6" w:space="0"/>
            </w:tcBorders>
            <w:shd w:val="clear" w:color="auto"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default" w:ascii="Times New Roman" w:hAnsi="Times New Roman" w:eastAsia="仿宋" w:cs="Times New Roman"/>
                <w:sz w:val="21"/>
                <w:szCs w:val="21"/>
                <w:vertAlign w:val="baseline"/>
                <w:lang w:val="en-US" w:eastAsia="zh-CN"/>
              </w:rPr>
              <w:t xml:space="preserve"> </w:t>
            </w:r>
            <w:r>
              <w:rPr>
                <w:rFonts w:hint="default" w:ascii="Times New Roman" w:hAnsi="Times New Roman" w:eastAsia="仿宋" w:cs="Times New Roman"/>
                <w:sz w:val="21"/>
                <w:szCs w:val="21"/>
                <w:lang w:val="en-US" w:eastAsia="zh-CN" w:bidi="ar-SA"/>
              </w:rPr>
              <w:t>PM</w:t>
            </w:r>
            <w:r>
              <w:rPr>
                <w:rFonts w:hint="default" w:ascii="Times New Roman" w:hAnsi="Times New Roman" w:eastAsia="仿宋" w:cs="Times New Roman"/>
                <w:sz w:val="21"/>
                <w:szCs w:val="21"/>
                <w:vertAlign w:val="subscript"/>
                <w:lang w:val="en-US" w:eastAsia="zh-CN" w:bidi="ar-SA"/>
              </w:rPr>
              <w:t>10</w:t>
            </w:r>
            <w:r>
              <w:rPr>
                <w:rFonts w:hint="default" w:ascii="Times New Roman" w:hAnsi="Times New Roman" w:eastAsia="仿宋" w:cs="Times New Roman"/>
                <w:sz w:val="21"/>
                <w:szCs w:val="21"/>
                <w:lang w:val="en-US" w:eastAsia="zh-CN" w:bidi="ar-SA"/>
              </w:rPr>
              <w:t>、PM</w:t>
            </w:r>
            <w:r>
              <w:rPr>
                <w:rFonts w:hint="default" w:ascii="Times New Roman" w:hAnsi="Times New Roman" w:eastAsia="仿宋" w:cs="Times New Roman"/>
                <w:sz w:val="21"/>
                <w:szCs w:val="21"/>
                <w:vertAlign w:val="subscript"/>
                <w:lang w:val="en-US" w:eastAsia="zh-CN" w:bidi="ar-SA"/>
              </w:rPr>
              <w:t>2.5</w:t>
            </w:r>
            <w:r>
              <w:rPr>
                <w:rFonts w:hint="default" w:ascii="Times New Roman" w:hAnsi="Times New Roman" w:eastAsia="仿宋" w:cs="Times New Roman"/>
                <w:sz w:val="21"/>
                <w:szCs w:val="21"/>
                <w:lang w:val="en-US" w:eastAsia="zh-CN" w:bidi="ar-SA"/>
              </w:rPr>
              <w:t>、NO</w:t>
            </w:r>
            <w:r>
              <w:rPr>
                <w:rFonts w:hint="default" w:ascii="Times New Roman" w:hAnsi="Times New Roman" w:eastAsia="仿宋" w:cs="Times New Roman"/>
                <w:sz w:val="21"/>
                <w:szCs w:val="21"/>
                <w:vertAlign w:val="subscript"/>
                <w:lang w:val="en-US" w:eastAsia="zh-CN" w:bidi="ar-SA"/>
              </w:rPr>
              <w:t>2</w:t>
            </w:r>
            <w:r>
              <w:rPr>
                <w:rFonts w:hint="default" w:ascii="Times New Roman" w:hAnsi="Times New Roman" w:eastAsia="仿宋" w:cs="Times New Roman"/>
                <w:sz w:val="21"/>
                <w:szCs w:val="21"/>
                <w:lang w:val="en-US" w:eastAsia="zh-CN" w:bidi="ar-SA"/>
              </w:rPr>
              <w:t>、SO</w:t>
            </w:r>
            <w:r>
              <w:rPr>
                <w:rFonts w:hint="default" w:ascii="Times New Roman" w:hAnsi="Times New Roman" w:eastAsia="仿宋" w:cs="Times New Roman"/>
                <w:sz w:val="21"/>
                <w:szCs w:val="21"/>
                <w:vertAlign w:val="subscript"/>
                <w:lang w:val="en-US" w:eastAsia="zh-CN" w:bidi="ar-SA"/>
              </w:rPr>
              <w:t>2</w:t>
            </w:r>
            <w:r>
              <w:rPr>
                <w:rFonts w:hint="default" w:ascii="Times New Roman" w:hAnsi="Times New Roman" w:eastAsia="仿宋" w:cs="Times New Roman"/>
                <w:sz w:val="21"/>
                <w:szCs w:val="21"/>
                <w:lang w:val="en-US" w:eastAsia="zh-CN" w:bidi="ar-SA"/>
              </w:rPr>
              <w:t>、TVOC</w:t>
            </w:r>
          </w:p>
        </w:tc>
        <w:tc>
          <w:tcPr>
            <w:tcW w:w="956" w:type="pct"/>
            <w:tcBorders>
              <w:top w:val="single" w:color="000000" w:sz="12"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产业园东侧、产业园中部、产业园西侧</w:t>
            </w:r>
          </w:p>
        </w:tc>
        <w:tc>
          <w:tcPr>
            <w:tcW w:w="937" w:type="pct"/>
            <w:tcBorders>
              <w:top w:val="single" w:color="000000" w:sz="12"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监测5天，每年冬、夏季分别监测1次</w:t>
            </w:r>
          </w:p>
        </w:tc>
        <w:tc>
          <w:tcPr>
            <w:tcW w:w="1378" w:type="pct"/>
            <w:tcBorders>
              <w:top w:val="single" w:color="000000" w:sz="12"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PM</w:t>
            </w:r>
            <w:r>
              <w:rPr>
                <w:rFonts w:hint="eastAsia" w:ascii="Times New Roman" w:hAnsi="Times New Roman" w:eastAsia="仿宋" w:cs="Times New Roman"/>
                <w:sz w:val="21"/>
                <w:szCs w:val="21"/>
                <w:vertAlign w:val="subscript"/>
                <w:lang w:val="en-US" w:eastAsia="zh-CN"/>
              </w:rPr>
              <w:t>10</w:t>
            </w:r>
            <w:r>
              <w:rPr>
                <w:rFonts w:hint="eastAsia" w:ascii="Times New Roman" w:hAnsi="Times New Roman" w:eastAsia="仿宋" w:cs="Times New Roman"/>
                <w:sz w:val="21"/>
                <w:szCs w:val="21"/>
                <w:vertAlign w:val="baseline"/>
                <w:lang w:val="en-US" w:eastAsia="zh-CN"/>
              </w:rPr>
              <w:t>、</w:t>
            </w:r>
            <w:r>
              <w:rPr>
                <w:rFonts w:hint="default" w:ascii="Times New Roman" w:hAnsi="Times New Roman" w:eastAsia="仿宋" w:cs="Times New Roman"/>
                <w:sz w:val="21"/>
                <w:szCs w:val="21"/>
                <w:lang w:val="en-US" w:eastAsia="zh-CN" w:bidi="ar-SA"/>
              </w:rPr>
              <w:t>PM</w:t>
            </w:r>
            <w:r>
              <w:rPr>
                <w:rFonts w:hint="default" w:ascii="Times New Roman" w:hAnsi="Times New Roman" w:eastAsia="仿宋" w:cs="Times New Roman"/>
                <w:sz w:val="21"/>
                <w:szCs w:val="21"/>
                <w:vertAlign w:val="subscript"/>
                <w:lang w:val="en-US" w:eastAsia="zh-CN" w:bidi="ar-SA"/>
              </w:rPr>
              <w:t>2.5</w:t>
            </w:r>
            <w:r>
              <w:rPr>
                <w:rFonts w:hint="default" w:ascii="Times New Roman" w:hAnsi="Times New Roman" w:eastAsia="仿宋" w:cs="Times New Roman"/>
                <w:sz w:val="21"/>
                <w:szCs w:val="21"/>
                <w:lang w:val="en-US" w:eastAsia="zh-CN" w:bidi="ar-SA"/>
              </w:rPr>
              <w:t>、</w:t>
            </w:r>
            <w:r>
              <w:rPr>
                <w:rFonts w:hint="eastAsia" w:ascii="Times New Roman" w:hAnsi="Times New Roman" w:eastAsia="仿宋" w:cs="Times New Roman"/>
                <w:sz w:val="21"/>
                <w:szCs w:val="21"/>
                <w:vertAlign w:val="baseline"/>
                <w:lang w:val="en-US" w:eastAsia="zh-CN"/>
              </w:rPr>
              <w:t>NO</w:t>
            </w:r>
            <w:r>
              <w:rPr>
                <w:rFonts w:hint="eastAsia" w:ascii="Times New Roman" w:hAnsi="Times New Roman" w:eastAsia="仿宋" w:cs="Times New Roman"/>
                <w:sz w:val="21"/>
                <w:szCs w:val="21"/>
                <w:vertAlign w:val="subscript"/>
                <w:lang w:val="en-US" w:eastAsia="zh-CN"/>
              </w:rPr>
              <w:t>2</w:t>
            </w:r>
            <w:r>
              <w:rPr>
                <w:rFonts w:hint="eastAsia" w:ascii="Times New Roman" w:hAnsi="Times New Roman" w:eastAsia="仿宋" w:cs="Times New Roman"/>
                <w:sz w:val="21"/>
                <w:szCs w:val="21"/>
                <w:vertAlign w:val="baseline"/>
                <w:lang w:val="en-US" w:eastAsia="zh-CN"/>
              </w:rPr>
              <w:t>、SO</w:t>
            </w:r>
            <w:r>
              <w:rPr>
                <w:rFonts w:hint="eastAsia" w:ascii="Times New Roman" w:hAnsi="Times New Roman" w:eastAsia="仿宋" w:cs="Times New Roman"/>
                <w:sz w:val="21"/>
                <w:szCs w:val="21"/>
                <w:vertAlign w:val="subscript"/>
                <w:lang w:val="en-US" w:eastAsia="zh-CN"/>
              </w:rPr>
              <w:t>2</w:t>
            </w:r>
            <w:r>
              <w:rPr>
                <w:rFonts w:hint="eastAsia" w:ascii="Times New Roman" w:hAnsi="Times New Roman" w:eastAsia="仿宋" w:cs="Times New Roman"/>
                <w:sz w:val="21"/>
                <w:szCs w:val="21"/>
                <w:vertAlign w:val="baseline"/>
                <w:lang w:val="en-US" w:eastAsia="zh-CN"/>
              </w:rPr>
              <w:t>执行《环境空气质量标准》（GB3095-2012）表1二级标准；VOC</w:t>
            </w:r>
            <w:r>
              <w:rPr>
                <w:rFonts w:hint="eastAsia" w:ascii="Times New Roman" w:hAnsi="Times New Roman" w:eastAsia="仿宋" w:cs="Times New Roman"/>
                <w:sz w:val="21"/>
                <w:szCs w:val="21"/>
                <w:vertAlign w:val="subscript"/>
                <w:lang w:val="en-US" w:eastAsia="zh-CN"/>
              </w:rPr>
              <w:t>S</w:t>
            </w:r>
            <w:r>
              <w:rPr>
                <w:rFonts w:hint="eastAsia" w:ascii="Times New Roman" w:hAnsi="Times New Roman" w:eastAsia="仿宋" w:cs="Times New Roman"/>
                <w:sz w:val="21"/>
                <w:szCs w:val="21"/>
                <w:vertAlign w:val="baseline"/>
                <w:lang w:val="en-US" w:eastAsia="zh-CN"/>
              </w:rPr>
              <w:t>执行《环境影响评价技术导则 大气环境》（HJ2.2-2018）附录D表D.1中浓度限值</w:t>
            </w:r>
          </w:p>
        </w:tc>
      </w:tr>
      <w:tr>
        <w:tblPrEx>
          <w:tblBorders>
            <w:top w:val="outset" w:color="333333" w:sz="6" w:space="0"/>
            <w:left w:val="outset" w:color="333333"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90" w:hRule="atLeast"/>
          <w:jc w:val="center"/>
        </w:trPr>
        <w:tc>
          <w:tcPr>
            <w:tcW w:w="414" w:type="pct"/>
            <w:tcBorders>
              <w:top w:val="single" w:color="000000" w:sz="6" w:space="0"/>
              <w:left w:val="nil"/>
              <w:bottom w:val="single" w:color="000000" w:sz="6" w:space="0"/>
              <w:right w:val="single" w:color="000000" w:sz="6" w:space="0"/>
            </w:tcBorders>
            <w:shd w:val="clear" w:color="auto" w:fill="FFFFFF"/>
            <w:tcMar>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地表水环境</w:t>
            </w:r>
          </w:p>
        </w:tc>
        <w:tc>
          <w:tcPr>
            <w:tcW w:w="1312" w:type="pc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pH值、水温、溶解氧、化学需氧量、五日生化需氧量、氨氮、石油类、总磷、总氮、氰化物、挥发酚、六价铬、锌、铅、铜</w:t>
            </w:r>
          </w:p>
        </w:tc>
        <w:tc>
          <w:tcPr>
            <w:tcW w:w="956"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南林桥污水处理厂排污口上游100m、南林桥污水处理厂排污口下游2000m共计2个点位</w:t>
            </w:r>
          </w:p>
        </w:tc>
        <w:tc>
          <w:tcPr>
            <w:tcW w:w="937"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每季度采样1次，每次连续采样2天，1次/天。</w:t>
            </w:r>
          </w:p>
        </w:tc>
        <w:tc>
          <w:tcPr>
            <w:tcW w:w="1378"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执行《地表水环境质量标准》（GB3838-2002）表1中Ⅲ类限值要求</w:t>
            </w:r>
          </w:p>
        </w:tc>
      </w:tr>
      <w:tr>
        <w:tblPrEx>
          <w:tblBorders>
            <w:top w:val="outset" w:color="333333" w:sz="6" w:space="0"/>
            <w:left w:val="outset" w:color="333333"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414" w:type="pct"/>
            <w:tcBorders>
              <w:top w:val="single" w:color="000000" w:sz="6" w:space="0"/>
              <w:left w:val="nil"/>
              <w:bottom w:val="single" w:color="000000" w:sz="6" w:space="0"/>
              <w:right w:val="single" w:color="000000" w:sz="6" w:space="0"/>
            </w:tcBorders>
            <w:shd w:val="clear" w:color="auto" w:fill="FFFFFF"/>
            <w:tcMar>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地下水环境</w:t>
            </w:r>
          </w:p>
        </w:tc>
        <w:tc>
          <w:tcPr>
            <w:tcW w:w="1312" w:type="pc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色度、水位、pH值、总硬度、硫酸盐、氟化物、铜、锌、苯酚、高锰酸盐指数、硝酸盐、亚硝酸盐、氨氮、汞、砷、镉、六价铬、铅、总大肠菌群数、细菌总数</w:t>
            </w:r>
          </w:p>
        </w:tc>
        <w:tc>
          <w:tcPr>
            <w:tcW w:w="956"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项目区域内共设置5个监测点</w:t>
            </w:r>
          </w:p>
        </w:tc>
        <w:tc>
          <w:tcPr>
            <w:tcW w:w="937"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1次/年，每次监测1天</w:t>
            </w:r>
          </w:p>
        </w:tc>
        <w:tc>
          <w:tcPr>
            <w:tcW w:w="1378"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执行《地下水质量标准》（GB/T14848-2017）“Ⅲ类”标准要求</w:t>
            </w:r>
          </w:p>
        </w:tc>
      </w:tr>
      <w:tr>
        <w:tblPrEx>
          <w:tblBorders>
            <w:top w:val="outset" w:color="333333" w:sz="6" w:space="0"/>
            <w:left w:val="outset" w:color="333333"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414" w:type="pct"/>
            <w:tcBorders>
              <w:top w:val="single" w:color="000000" w:sz="6" w:space="0"/>
              <w:left w:val="nil"/>
              <w:bottom w:val="single" w:color="000000" w:sz="6" w:space="0"/>
              <w:right w:val="single" w:color="000000" w:sz="6" w:space="0"/>
            </w:tcBorders>
            <w:shd w:val="clear" w:color="auto" w:fill="FFFFFF"/>
            <w:tcMar>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土壤环境</w:t>
            </w:r>
          </w:p>
        </w:tc>
        <w:tc>
          <w:tcPr>
            <w:tcW w:w="1312" w:type="pct"/>
            <w:tcBorders>
              <w:top w:val="single" w:color="000000" w:sz="6" w:space="0"/>
              <w:left w:val="single" w:color="000000" w:sz="6" w:space="0"/>
              <w:bottom w:val="single" w:color="000000" w:sz="6" w:space="0"/>
              <w:right w:val="single" w:color="000000" w:sz="6" w:space="0"/>
            </w:tcBorders>
            <w:shd w:val="clear" w:color="auto"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砷、镉、铜、铅、镍、汞、铬、锌、六价铬、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c>
          <w:tcPr>
            <w:tcW w:w="956"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 xml:space="preserve">规划区域内共设置2个监测点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p>
        </w:tc>
        <w:tc>
          <w:tcPr>
            <w:tcW w:w="937"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1次/年，每次监测1天</w:t>
            </w:r>
          </w:p>
        </w:tc>
        <w:tc>
          <w:tcPr>
            <w:tcW w:w="1378" w:type="pct"/>
            <w:tcBorders>
              <w:top w:val="single" w:color="000000" w:sz="6" w:space="0"/>
              <w:left w:val="single" w:color="000000" w:sz="6" w:space="0"/>
              <w:bottom w:val="single" w:color="000000" w:sz="6"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执行《土壤环境质量标准 建设用地土壤污染风险管控标准（试行）》（GB36600-2018）第二类用地筛选值</w:t>
            </w:r>
          </w:p>
        </w:tc>
      </w:tr>
      <w:tr>
        <w:tblPrEx>
          <w:tblBorders>
            <w:top w:val="outset" w:color="333333" w:sz="6" w:space="0"/>
            <w:left w:val="outset" w:color="333333" w:sz="6" w:space="0"/>
            <w:bottom w:val="single" w:color="333333" w:sz="6" w:space="0"/>
            <w:right w:val="single" w:color="333333" w:sz="6"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414" w:type="pct"/>
            <w:tcBorders>
              <w:top w:val="single" w:color="000000" w:sz="6" w:space="0"/>
              <w:left w:val="nil"/>
              <w:bottom w:val="single" w:color="000000" w:sz="12" w:space="0"/>
              <w:right w:val="single" w:color="000000" w:sz="6" w:space="0"/>
            </w:tcBorders>
            <w:shd w:val="clear" w:color="auto" w:fill="FFFFFF"/>
            <w:tcMar>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声环境</w:t>
            </w:r>
          </w:p>
        </w:tc>
        <w:tc>
          <w:tcPr>
            <w:tcW w:w="1312" w:type="pct"/>
            <w:tcBorders>
              <w:top w:val="single" w:color="000000" w:sz="6" w:space="0"/>
              <w:left w:val="single" w:color="000000" w:sz="6" w:space="0"/>
              <w:bottom w:val="single" w:color="000000" w:sz="12" w:space="0"/>
              <w:right w:val="single" w:color="000000" w:sz="6" w:space="0"/>
            </w:tcBorders>
            <w:shd w:val="clear" w:color="auto" w:fill="FFFFFF"/>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等效声级Leq</w:t>
            </w:r>
          </w:p>
        </w:tc>
        <w:tc>
          <w:tcPr>
            <w:tcW w:w="956" w:type="pct"/>
            <w:tcBorders>
              <w:top w:val="single" w:color="000000" w:sz="6" w:space="0"/>
              <w:left w:val="single" w:color="000000" w:sz="6" w:space="0"/>
              <w:bottom w:val="single" w:color="000000" w:sz="12"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区域内设置5个噪声监测点位</w:t>
            </w:r>
          </w:p>
        </w:tc>
        <w:tc>
          <w:tcPr>
            <w:tcW w:w="937" w:type="pct"/>
            <w:tcBorders>
              <w:top w:val="single" w:color="000000" w:sz="6" w:space="0"/>
              <w:left w:val="single" w:color="000000" w:sz="6" w:space="0"/>
              <w:bottom w:val="single" w:color="000000" w:sz="12"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昼夜各1次，每年冬、夏季分别监测1次</w:t>
            </w:r>
          </w:p>
        </w:tc>
        <w:tc>
          <w:tcPr>
            <w:tcW w:w="1378" w:type="pct"/>
            <w:tcBorders>
              <w:top w:val="single" w:color="000000" w:sz="6" w:space="0"/>
              <w:left w:val="single" w:color="000000" w:sz="6" w:space="0"/>
              <w:bottom w:val="single" w:color="000000" w:sz="12" w:space="0"/>
              <w:right w:val="nil"/>
            </w:tcBorders>
            <w:shd w:val="clear" w:color="auto" w:fill="FFFFFF"/>
            <w:tcMar>
              <w:lef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 w:cs="Times New Roman"/>
                <w:sz w:val="21"/>
                <w:szCs w:val="21"/>
                <w:vertAlign w:val="baseline"/>
                <w:lang w:val="en-US" w:eastAsia="zh-CN"/>
              </w:rPr>
            </w:pPr>
            <w:r>
              <w:rPr>
                <w:rFonts w:hint="eastAsia" w:ascii="Times New Roman" w:hAnsi="Times New Roman" w:eastAsia="仿宋" w:cs="Times New Roman"/>
                <w:sz w:val="21"/>
                <w:szCs w:val="21"/>
                <w:vertAlign w:val="baseline"/>
                <w:lang w:val="en-US" w:eastAsia="zh-CN"/>
              </w:rPr>
              <w:t>执行《声环境质量标准》（GB3096—2008）2类、4a类标准</w:t>
            </w:r>
          </w:p>
        </w:tc>
      </w:tr>
    </w:tbl>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sz w:val="24"/>
          <w:szCs w:val="24"/>
          <w:lang w:val="en-US" w:eastAsia="zh-CN"/>
        </w:rPr>
      </w:pPr>
      <w:r>
        <w:rPr>
          <w:rFonts w:hint="default" w:ascii="Times New Roman" w:hAnsi="Times New Roman" w:cs="Times New Roman"/>
          <w:b/>
          <w:sz w:val="24"/>
          <w:szCs w:val="24"/>
          <w:lang w:val="en-US" w:eastAsia="zh-CN"/>
        </w:rPr>
        <w:t>2、大气环境质量状况</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heme="majorEastAsia" w:hAnsiTheme="majorEastAsia" w:eastAsiaTheme="majorEastAsia" w:cstheme="majorEastAsia"/>
          <w:b/>
          <w:sz w:val="24"/>
          <w:szCs w:val="24"/>
          <w:lang w:val="en-US" w:eastAsia="zh-CN"/>
        </w:rPr>
      </w:pPr>
      <w:bookmarkStart w:id="0" w:name="_Toc10849"/>
      <w:bookmarkEnd w:id="0"/>
      <w:r>
        <w:rPr>
          <w:rFonts w:hint="default" w:asciiTheme="majorEastAsia" w:hAnsiTheme="majorEastAsia" w:eastAsiaTheme="majorEastAsia" w:cstheme="majorEastAsia"/>
          <w:b/>
          <w:sz w:val="24"/>
          <w:szCs w:val="24"/>
          <w:lang w:val="en-US" w:eastAsia="zh-CN"/>
        </w:rPr>
        <w:t>2.1监测数据统计及分析</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lang w:val="en-US" w:eastAsia="zh-CN"/>
        </w:rPr>
      </w:pPr>
      <w:r>
        <w:rPr>
          <w:rFonts w:hint="default" w:ascii="仿宋" w:hAnsi="仿宋" w:eastAsia="仿宋" w:cs="仿宋"/>
          <w:b/>
          <w:bCs/>
          <w:sz w:val="24"/>
          <w:szCs w:val="24"/>
          <w:lang w:val="en-US" w:eastAsia="zh-CN"/>
        </w:rPr>
        <w:t>表2-</w:t>
      </w:r>
      <w:r>
        <w:rPr>
          <w:rFonts w:hint="eastAsia" w:ascii="仿宋" w:hAnsi="仿宋" w:eastAsia="仿宋" w:cs="仿宋"/>
          <w:b/>
          <w:bCs/>
          <w:sz w:val="24"/>
          <w:szCs w:val="24"/>
          <w:lang w:val="en-US" w:eastAsia="zh-CN"/>
        </w:rPr>
        <w:t>1南林桥工业集聚区</w:t>
      </w:r>
      <w:r>
        <w:rPr>
          <w:rFonts w:hint="default" w:ascii="仿宋" w:hAnsi="仿宋" w:eastAsia="仿宋" w:cs="仿宋"/>
          <w:b/>
          <w:bCs/>
          <w:sz w:val="24"/>
          <w:szCs w:val="24"/>
          <w:lang w:val="en-US" w:eastAsia="zh-CN"/>
        </w:rPr>
        <w:t>202</w:t>
      </w: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年度</w:t>
      </w:r>
      <w:r>
        <w:rPr>
          <w:rFonts w:hint="eastAsia" w:ascii="仿宋" w:hAnsi="仿宋" w:eastAsia="仿宋" w:cs="仿宋"/>
          <w:b/>
          <w:bCs/>
          <w:sz w:val="24"/>
          <w:szCs w:val="24"/>
          <w:lang w:val="en-US" w:eastAsia="zh-CN"/>
        </w:rPr>
        <w:t>夏季</w:t>
      </w:r>
      <w:r>
        <w:rPr>
          <w:rFonts w:hint="default" w:ascii="仿宋" w:hAnsi="仿宋" w:eastAsia="仿宋" w:cs="仿宋"/>
          <w:b/>
          <w:bCs/>
          <w:sz w:val="24"/>
          <w:szCs w:val="24"/>
          <w:lang w:val="en-US" w:eastAsia="zh-CN"/>
        </w:rPr>
        <w:t>大气环境质量现状监测一览表</w:t>
      </w:r>
    </w:p>
    <w:tbl>
      <w:tblPr>
        <w:tblStyle w:val="1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784"/>
        <w:gridCol w:w="1404"/>
        <w:gridCol w:w="1404"/>
        <w:gridCol w:w="1404"/>
        <w:gridCol w:w="1404"/>
        <w:gridCol w:w="13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51" w:type="pct"/>
            <w:vMerge w:val="restart"/>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检测</w:t>
            </w:r>
            <w:r>
              <w:rPr>
                <w:rFonts w:hint="eastAsia" w:ascii="Times New Roman" w:hAnsi="Times New Roman" w:eastAsia="宋体" w:cs="Times New Roman"/>
                <w:b/>
                <w:bCs w:val="0"/>
                <w:color w:val="auto"/>
                <w:sz w:val="21"/>
                <w:szCs w:val="21"/>
                <w:lang w:val="en-US" w:eastAsia="zh-CN"/>
              </w:rPr>
              <w:t>点位</w:t>
            </w:r>
          </w:p>
        </w:tc>
        <w:tc>
          <w:tcPr>
            <w:tcW w:w="554" w:type="pct"/>
            <w:vMerge w:val="restart"/>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检测</w:t>
            </w:r>
            <w:r>
              <w:rPr>
                <w:rFonts w:hint="eastAsia" w:ascii="Times New Roman" w:hAnsi="Times New Roman" w:eastAsia="宋体" w:cs="Times New Roman"/>
                <w:b/>
                <w:bCs w:val="0"/>
                <w:color w:val="auto"/>
                <w:sz w:val="21"/>
                <w:szCs w:val="21"/>
                <w:lang w:val="en-US" w:eastAsia="zh-CN"/>
              </w:rPr>
              <w:t>时间</w:t>
            </w:r>
          </w:p>
        </w:tc>
        <w:tc>
          <w:tcPr>
            <w:tcW w:w="3894" w:type="pct"/>
            <w:gridSpan w:val="5"/>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检测</w:t>
            </w:r>
            <w:r>
              <w:rPr>
                <w:rFonts w:hint="eastAsia" w:ascii="Times New Roman" w:hAnsi="Times New Roman" w:eastAsia="宋体" w:cs="Times New Roman"/>
                <w:b/>
                <w:bCs w:val="0"/>
                <w:color w:val="auto"/>
                <w:sz w:val="21"/>
                <w:szCs w:val="21"/>
                <w:lang w:val="en-US" w:eastAsia="zh-CN"/>
              </w:rPr>
              <w:t>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551" w:type="pct"/>
            <w:vMerge w:val="continue"/>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p>
        </w:tc>
        <w:tc>
          <w:tcPr>
            <w:tcW w:w="554" w:type="pct"/>
            <w:vMerge w:val="continue"/>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p>
        </w:tc>
        <w:tc>
          <w:tcPr>
            <w:tcW w:w="774" w:type="pct"/>
            <w:tcBorders>
              <w:bottom w:val="single" w:color="auto" w:sz="12" w:space="0"/>
            </w:tcBorders>
            <w:vAlign w:val="center"/>
          </w:tcPr>
          <w:p>
            <w:pPr>
              <w:widowControl w:val="0"/>
              <w:spacing w:line="240" w:lineRule="exact"/>
              <w:jc w:val="center"/>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PM</w:t>
            </w:r>
            <w:r>
              <w:rPr>
                <w:rFonts w:hint="eastAsia" w:ascii="Times New Roman" w:hAnsi="Times New Roman" w:cs="Times New Roman"/>
                <w:b/>
                <w:bCs w:val="0"/>
                <w:color w:val="auto"/>
                <w:sz w:val="21"/>
                <w:szCs w:val="21"/>
                <w:vertAlign w:val="subscript"/>
                <w:lang w:val="en-US" w:eastAsia="zh-CN"/>
              </w:rPr>
              <w:t>10</w:t>
            </w:r>
            <w:r>
              <w:rPr>
                <w:rFonts w:hint="eastAsia" w:ascii="Times New Roman" w:hAnsi="Times New Roman" w:cs="Times New Roman"/>
                <w:b/>
                <w:bCs w:val="0"/>
                <w:color w:val="auto"/>
                <w:sz w:val="21"/>
                <w:szCs w:val="21"/>
                <w:lang w:val="en-US" w:eastAsia="zh-CN"/>
              </w:rPr>
              <w:t xml:space="preserve"> （</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775" w:type="pct"/>
            <w:tcBorders>
              <w:bottom w:val="single" w:color="auto" w:sz="12" w:space="0"/>
            </w:tcBorders>
            <w:vAlign w:val="center"/>
          </w:tcPr>
          <w:p>
            <w:pPr>
              <w:widowControl w:val="0"/>
              <w:spacing w:line="240" w:lineRule="exact"/>
              <w:jc w:val="center"/>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PM</w:t>
            </w:r>
            <w:r>
              <w:rPr>
                <w:rFonts w:hint="eastAsia" w:ascii="Times New Roman" w:hAnsi="Times New Roman" w:cs="Times New Roman"/>
                <w:b/>
                <w:bCs w:val="0"/>
                <w:color w:val="auto"/>
                <w:sz w:val="21"/>
                <w:szCs w:val="21"/>
                <w:vertAlign w:val="subscript"/>
                <w:lang w:val="en-US" w:eastAsia="zh-CN"/>
              </w:rPr>
              <w:t>2.5</w:t>
            </w:r>
            <w:r>
              <w:rPr>
                <w:rFonts w:hint="eastAsia" w:ascii="Times New Roman" w:hAnsi="Times New Roman" w:cs="Times New Roman"/>
                <w:b/>
                <w:bCs w:val="0"/>
                <w:color w:val="auto"/>
                <w:sz w:val="21"/>
                <w:szCs w:val="21"/>
                <w:lang w:val="en-US" w:eastAsia="zh-CN"/>
              </w:rPr>
              <w:t>（</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775" w:type="pct"/>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NO</w:t>
            </w:r>
            <w:r>
              <w:rPr>
                <w:rFonts w:hint="eastAsia" w:ascii="Times New Roman" w:hAnsi="Times New Roman" w:cs="Times New Roman"/>
                <w:b/>
                <w:bCs w:val="0"/>
                <w:color w:val="auto"/>
                <w:sz w:val="21"/>
                <w:szCs w:val="21"/>
                <w:vertAlign w:val="subscript"/>
                <w:lang w:val="en-US" w:eastAsia="zh-CN"/>
              </w:rPr>
              <w:t>2</w:t>
            </w:r>
            <w:r>
              <w:rPr>
                <w:rFonts w:hint="eastAsia" w:ascii="Times New Roman" w:hAnsi="Times New Roman" w:cs="Times New Roman"/>
                <w:b/>
                <w:bCs w:val="0"/>
                <w:color w:val="auto"/>
                <w:sz w:val="21"/>
                <w:szCs w:val="21"/>
                <w:lang w:val="en-US" w:eastAsia="zh-CN"/>
              </w:rPr>
              <w:t>（</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775" w:type="pct"/>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SO</w:t>
            </w:r>
            <w:r>
              <w:rPr>
                <w:rFonts w:hint="eastAsia" w:ascii="Times New Roman" w:hAnsi="Times New Roman" w:cs="Times New Roman"/>
                <w:b/>
                <w:bCs w:val="0"/>
                <w:color w:val="auto"/>
                <w:sz w:val="21"/>
                <w:szCs w:val="21"/>
                <w:vertAlign w:val="subscript"/>
                <w:lang w:val="en-US" w:eastAsia="zh-CN"/>
              </w:rPr>
              <w:t>2</w:t>
            </w:r>
            <w:r>
              <w:rPr>
                <w:rFonts w:hint="eastAsia" w:ascii="Times New Roman" w:hAnsi="Times New Roman" w:cs="Times New Roman"/>
                <w:b/>
                <w:bCs w:val="0"/>
                <w:color w:val="auto"/>
                <w:sz w:val="21"/>
                <w:szCs w:val="21"/>
                <w:lang w:val="en-US" w:eastAsia="zh-CN"/>
              </w:rPr>
              <w:t>（</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794" w:type="pct"/>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TVOC</w:t>
            </w:r>
            <w:r>
              <w:rPr>
                <w:rFonts w:hint="default" w:ascii="Times New Roman" w:hAnsi="Times New Roman" w:eastAsia="宋体" w:cs="Times New Roman"/>
                <w:b/>
                <w:bCs w:val="0"/>
                <w:color w:val="auto"/>
                <w:sz w:val="21"/>
                <w:szCs w:val="21"/>
                <w:lang w:val="en-US" w:eastAsia="zh-CN"/>
              </w:rPr>
              <w:t>（μg/m</w:t>
            </w:r>
            <w:r>
              <w:rPr>
                <w:rFonts w:hint="default" w:ascii="Times New Roman" w:hAnsi="Times New Roman" w:eastAsia="宋体" w:cs="Times New Roman"/>
                <w:b/>
                <w:bCs w:val="0"/>
                <w:color w:val="auto"/>
                <w:sz w:val="21"/>
                <w:szCs w:val="21"/>
                <w:vertAlign w:val="superscript"/>
                <w:lang w:val="en-US" w:eastAsia="zh-CN"/>
              </w:rPr>
              <w:t>3</w:t>
            </w:r>
            <w:r>
              <w:rPr>
                <w:rFonts w:hint="default" w:ascii="Times New Roman" w:hAnsi="Times New Roman" w:eastAsia="宋体" w:cs="Times New Roman"/>
                <w:b/>
                <w:bCs w:val="0"/>
                <w:color w:val="auto"/>
                <w:sz w:val="21"/>
                <w:szCs w:val="21"/>
                <w:lang w:val="en-US" w:eastAsia="zh-CN"/>
              </w:rPr>
              <w:t>）</w:t>
            </w:r>
            <w:r>
              <w:rPr>
                <w:rFonts w:hint="eastAsia" w:ascii="Times New Roman" w:hAnsi="Times New Roman" w:cs="Times New Roman"/>
                <w:b/>
                <w:bCs w:val="0"/>
                <w:color w:val="auto"/>
                <w:sz w:val="21"/>
                <w:szCs w:val="21"/>
                <w:lang w:val="en-US" w:eastAsia="zh-CN"/>
              </w:rPr>
              <w:t xml:space="preserve">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restart"/>
            <w:tcBorders>
              <w:top w:val="single" w:color="auto" w:sz="12" w:space="0"/>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产业园东侧</w:t>
            </w:r>
          </w:p>
        </w:tc>
        <w:tc>
          <w:tcPr>
            <w:tcW w:w="554" w:type="pct"/>
            <w:tcBorders>
              <w:top w:val="single" w:color="auto" w:sz="12" w:space="0"/>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第一天</w:t>
            </w:r>
          </w:p>
        </w:tc>
        <w:tc>
          <w:tcPr>
            <w:tcW w:w="774"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0.050</w:t>
            </w:r>
          </w:p>
        </w:tc>
        <w:tc>
          <w:tcPr>
            <w:tcW w:w="775"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0.018</w:t>
            </w:r>
          </w:p>
        </w:tc>
        <w:tc>
          <w:tcPr>
            <w:tcW w:w="775"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75"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第二天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0.047</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0.007</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74.2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第三天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0.043</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0.022</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75" w:type="pct"/>
            <w:tcBorders>
              <w:tl2br w:val="nil"/>
              <w:tr2bl w:val="nil"/>
            </w:tcBorders>
            <w:shd w:val="clear" w:color="auto" w:fill="auto"/>
            <w:vAlign w:val="center"/>
          </w:tcPr>
          <w:p>
            <w:pPr>
              <w:widowControl w:val="0"/>
              <w:ind w:left="0" w:leftChars="0" w:firstLine="0" w:firstLineChars="0"/>
              <w:jc w:val="center"/>
              <w:rPr>
                <w:rFonts w:hint="eastAsia"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67.6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第四天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0.041</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widowControl w:val="0"/>
              <w:ind w:left="0" w:leftChars="0" w:firstLine="0" w:firstLineChars="0"/>
              <w:jc w:val="center"/>
              <w:rPr>
                <w:rFonts w:hint="eastAsia"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68.9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第五天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0.043</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75" w:type="pct"/>
            <w:tcBorders>
              <w:tl2br w:val="nil"/>
              <w:tr2bl w:val="nil"/>
            </w:tcBorders>
            <w:shd w:val="clear" w:color="auto" w:fill="auto"/>
            <w:vAlign w:val="center"/>
          </w:tcPr>
          <w:p>
            <w:pPr>
              <w:widowControl w:val="0"/>
              <w:ind w:left="0" w:leftChars="0" w:firstLine="0" w:firstLineChars="0"/>
              <w:jc w:val="center"/>
              <w:rPr>
                <w:rFonts w:hint="eastAsia"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第六天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0.021</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widowControl w:val="0"/>
              <w:ind w:left="0" w:leftChars="0" w:firstLine="0" w:firstLineChars="0"/>
              <w:jc w:val="center"/>
              <w:rPr>
                <w:rFonts w:hint="eastAsia" w:ascii="Times New Roman" w:hAnsi="Times New Roman" w:cs="Times New Roman" w:eastAsiaTheme="minorEastAsia"/>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85.5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第七天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75" w:type="pct"/>
            <w:tcBorders>
              <w:tl2br w:val="nil"/>
              <w:tr2bl w:val="nil"/>
            </w:tcBorders>
            <w:shd w:val="clear" w:color="auto" w:fill="auto"/>
            <w:vAlign w:val="center"/>
          </w:tcPr>
          <w:p>
            <w:pPr>
              <w:widowControl w:val="0"/>
              <w:ind w:left="0" w:leftChars="0" w:firstLine="0" w:firstLineChars="0"/>
              <w:jc w:val="center"/>
              <w:rPr>
                <w:rFonts w:hint="eastAsia" w:ascii="Times New Roman" w:hAnsi="Times New Roman" w:cs="Times New Roman" w:eastAsiaTheme="minorEastAsia"/>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restar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产业园中部</w:t>
            </w: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第一天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0.057</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第二天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0.056</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0.018</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0.011</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83.1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第三天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0.056</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0.023</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0.011</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第四天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0.053</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0.022</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69.1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第五天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0.057</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0.021</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0.012</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89.6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第六天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0.044</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0.022</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0.013</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64.1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第七天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0.048</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0.012</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50.9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restar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产业园西侧</w:t>
            </w: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第一天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0.043</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0.007</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第二天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0.048</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47.8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第三天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0.046</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第四天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0.046</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52.4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第五天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0.046</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81.0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第六天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0.036</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0.010</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46.2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第七天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0.044</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0.018</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0.009</w:t>
            </w:r>
          </w:p>
        </w:tc>
        <w:tc>
          <w:tcPr>
            <w:tcW w:w="775"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9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63.2</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sz w:val="24"/>
          <w:szCs w:val="24"/>
          <w:lang w:val="en-US" w:eastAsia="zh-CN"/>
        </w:rPr>
      </w:pPr>
      <w:r>
        <w:rPr>
          <w:rFonts w:hint="default" w:ascii="仿宋" w:hAnsi="仿宋" w:eastAsia="仿宋" w:cs="仿宋"/>
          <w:b/>
          <w:bCs/>
          <w:sz w:val="24"/>
          <w:szCs w:val="24"/>
          <w:lang w:val="en-US" w:eastAsia="zh-CN"/>
        </w:rPr>
        <w:t>表2-</w:t>
      </w:r>
      <w:r>
        <w:rPr>
          <w:rFonts w:hint="eastAsia" w:ascii="仿宋" w:hAnsi="仿宋" w:eastAsia="仿宋" w:cs="仿宋"/>
          <w:b/>
          <w:bCs/>
          <w:sz w:val="24"/>
          <w:szCs w:val="24"/>
          <w:lang w:val="en-US" w:eastAsia="zh-CN"/>
        </w:rPr>
        <w:t>2南林桥工业集聚区</w:t>
      </w:r>
      <w:r>
        <w:rPr>
          <w:rFonts w:hint="default" w:ascii="仿宋" w:hAnsi="仿宋" w:eastAsia="仿宋" w:cs="仿宋"/>
          <w:b/>
          <w:bCs/>
          <w:sz w:val="24"/>
          <w:szCs w:val="24"/>
          <w:lang w:val="en-US" w:eastAsia="zh-CN"/>
        </w:rPr>
        <w:t>202</w:t>
      </w: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年度</w:t>
      </w:r>
      <w:r>
        <w:rPr>
          <w:rFonts w:hint="eastAsia" w:ascii="仿宋" w:hAnsi="仿宋" w:eastAsia="仿宋" w:cs="仿宋"/>
          <w:b/>
          <w:bCs/>
          <w:sz w:val="24"/>
          <w:szCs w:val="24"/>
          <w:lang w:val="en-US" w:eastAsia="zh-CN"/>
        </w:rPr>
        <w:t>冬季</w:t>
      </w:r>
      <w:r>
        <w:rPr>
          <w:rFonts w:hint="default" w:ascii="仿宋" w:hAnsi="仿宋" w:eastAsia="仿宋" w:cs="仿宋"/>
          <w:b/>
          <w:bCs/>
          <w:sz w:val="24"/>
          <w:szCs w:val="24"/>
          <w:lang w:val="en-US" w:eastAsia="zh-CN"/>
        </w:rPr>
        <w:t>大气环境质量现状监测一览表</w:t>
      </w:r>
    </w:p>
    <w:tbl>
      <w:tblPr>
        <w:tblStyle w:val="1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786"/>
        <w:gridCol w:w="1404"/>
        <w:gridCol w:w="1404"/>
        <w:gridCol w:w="1404"/>
        <w:gridCol w:w="1404"/>
        <w:gridCol w:w="134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49" w:type="pct"/>
            <w:vMerge w:val="restart"/>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检测</w:t>
            </w:r>
            <w:r>
              <w:rPr>
                <w:rFonts w:hint="eastAsia" w:ascii="Times New Roman" w:hAnsi="Times New Roman" w:eastAsia="宋体" w:cs="Times New Roman"/>
                <w:b/>
                <w:bCs w:val="0"/>
                <w:color w:val="auto"/>
                <w:sz w:val="21"/>
                <w:szCs w:val="21"/>
                <w:lang w:val="en-US" w:eastAsia="zh-CN"/>
              </w:rPr>
              <w:t>点位</w:t>
            </w:r>
          </w:p>
        </w:tc>
        <w:tc>
          <w:tcPr>
            <w:tcW w:w="554" w:type="pct"/>
            <w:vMerge w:val="restart"/>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检测</w:t>
            </w:r>
            <w:r>
              <w:rPr>
                <w:rFonts w:hint="eastAsia" w:ascii="Times New Roman" w:hAnsi="Times New Roman" w:eastAsia="宋体" w:cs="Times New Roman"/>
                <w:b/>
                <w:bCs w:val="0"/>
                <w:color w:val="auto"/>
                <w:sz w:val="21"/>
                <w:szCs w:val="21"/>
                <w:lang w:val="en-US" w:eastAsia="zh-CN"/>
              </w:rPr>
              <w:t>时间</w:t>
            </w:r>
          </w:p>
        </w:tc>
        <w:tc>
          <w:tcPr>
            <w:tcW w:w="3896" w:type="pct"/>
            <w:gridSpan w:val="5"/>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检测</w:t>
            </w:r>
            <w:r>
              <w:rPr>
                <w:rFonts w:hint="eastAsia" w:ascii="Times New Roman" w:hAnsi="Times New Roman" w:eastAsia="宋体" w:cs="Times New Roman"/>
                <w:b/>
                <w:bCs w:val="0"/>
                <w:color w:val="auto"/>
                <w:sz w:val="21"/>
                <w:szCs w:val="21"/>
                <w:lang w:val="en-US" w:eastAsia="zh-CN"/>
              </w:rPr>
              <w:t>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549" w:type="pct"/>
            <w:vMerge w:val="continue"/>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p>
        </w:tc>
        <w:tc>
          <w:tcPr>
            <w:tcW w:w="554" w:type="pct"/>
            <w:vMerge w:val="continue"/>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p>
        </w:tc>
        <w:tc>
          <w:tcPr>
            <w:tcW w:w="774" w:type="pct"/>
            <w:tcBorders>
              <w:bottom w:val="single" w:color="auto" w:sz="12" w:space="0"/>
            </w:tcBorders>
            <w:vAlign w:val="center"/>
          </w:tcPr>
          <w:p>
            <w:pPr>
              <w:widowControl w:val="0"/>
              <w:spacing w:line="240" w:lineRule="exact"/>
              <w:jc w:val="center"/>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PM</w:t>
            </w:r>
            <w:r>
              <w:rPr>
                <w:rFonts w:hint="eastAsia" w:ascii="Times New Roman" w:hAnsi="Times New Roman" w:cs="Times New Roman"/>
                <w:b/>
                <w:bCs w:val="0"/>
                <w:color w:val="auto"/>
                <w:sz w:val="21"/>
                <w:szCs w:val="21"/>
                <w:vertAlign w:val="subscript"/>
                <w:lang w:val="en-US" w:eastAsia="zh-CN"/>
              </w:rPr>
              <w:t>10</w:t>
            </w:r>
            <w:r>
              <w:rPr>
                <w:rFonts w:hint="eastAsia" w:ascii="Times New Roman" w:hAnsi="Times New Roman" w:cs="Times New Roman"/>
                <w:b/>
                <w:bCs w:val="0"/>
                <w:color w:val="auto"/>
                <w:sz w:val="21"/>
                <w:szCs w:val="21"/>
                <w:lang w:val="en-US" w:eastAsia="zh-CN"/>
              </w:rPr>
              <w:t xml:space="preserve"> （</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774" w:type="pct"/>
            <w:tcBorders>
              <w:bottom w:val="single" w:color="auto" w:sz="12" w:space="0"/>
            </w:tcBorders>
            <w:vAlign w:val="center"/>
          </w:tcPr>
          <w:p>
            <w:pPr>
              <w:widowControl w:val="0"/>
              <w:spacing w:line="240" w:lineRule="exact"/>
              <w:jc w:val="center"/>
              <w:rPr>
                <w:rFonts w:hint="default"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PM</w:t>
            </w:r>
            <w:r>
              <w:rPr>
                <w:rFonts w:hint="eastAsia" w:ascii="Times New Roman" w:hAnsi="Times New Roman" w:cs="Times New Roman"/>
                <w:b/>
                <w:bCs w:val="0"/>
                <w:color w:val="auto"/>
                <w:sz w:val="21"/>
                <w:szCs w:val="21"/>
                <w:vertAlign w:val="subscript"/>
                <w:lang w:val="en-US" w:eastAsia="zh-CN"/>
              </w:rPr>
              <w:t>2.5</w:t>
            </w:r>
            <w:r>
              <w:rPr>
                <w:rFonts w:hint="eastAsia" w:ascii="Times New Roman" w:hAnsi="Times New Roman" w:cs="Times New Roman"/>
                <w:b/>
                <w:bCs w:val="0"/>
                <w:color w:val="auto"/>
                <w:sz w:val="21"/>
                <w:szCs w:val="21"/>
                <w:lang w:val="en-US" w:eastAsia="zh-CN"/>
              </w:rPr>
              <w:t>（</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1319" w:type="dxa"/>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NO</w:t>
            </w:r>
            <w:r>
              <w:rPr>
                <w:rFonts w:hint="eastAsia" w:ascii="Times New Roman" w:hAnsi="Times New Roman" w:cs="Times New Roman"/>
                <w:b/>
                <w:bCs w:val="0"/>
                <w:color w:val="auto"/>
                <w:sz w:val="21"/>
                <w:szCs w:val="21"/>
                <w:vertAlign w:val="subscript"/>
                <w:lang w:val="en-US" w:eastAsia="zh-CN"/>
              </w:rPr>
              <w:t>2</w:t>
            </w:r>
            <w:r>
              <w:rPr>
                <w:rFonts w:hint="eastAsia" w:ascii="Times New Roman" w:hAnsi="Times New Roman" w:cs="Times New Roman"/>
                <w:b/>
                <w:bCs w:val="0"/>
                <w:color w:val="auto"/>
                <w:sz w:val="21"/>
                <w:szCs w:val="21"/>
                <w:lang w:val="en-US" w:eastAsia="zh-CN"/>
              </w:rPr>
              <w:t>（</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1319" w:type="dxa"/>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SO</w:t>
            </w:r>
            <w:r>
              <w:rPr>
                <w:rFonts w:hint="eastAsia" w:ascii="Times New Roman" w:hAnsi="Times New Roman" w:cs="Times New Roman"/>
                <w:b/>
                <w:bCs w:val="0"/>
                <w:color w:val="auto"/>
                <w:sz w:val="21"/>
                <w:szCs w:val="21"/>
                <w:vertAlign w:val="subscript"/>
                <w:lang w:val="en-US" w:eastAsia="zh-CN"/>
              </w:rPr>
              <w:t>2</w:t>
            </w:r>
            <w:r>
              <w:rPr>
                <w:rFonts w:hint="eastAsia" w:ascii="Times New Roman" w:hAnsi="Times New Roman" w:cs="Times New Roman"/>
                <w:b/>
                <w:bCs w:val="0"/>
                <w:color w:val="auto"/>
                <w:sz w:val="21"/>
                <w:szCs w:val="21"/>
                <w:lang w:val="en-US" w:eastAsia="zh-CN"/>
              </w:rPr>
              <w:t>（</w:t>
            </w:r>
            <w:r>
              <w:rPr>
                <w:rFonts w:hint="default" w:ascii="Times New Roman" w:hAnsi="Times New Roman" w:eastAsia="宋体" w:cs="Times New Roman"/>
                <w:b/>
                <w:bCs w:val="0"/>
                <w:color w:val="auto"/>
                <w:szCs w:val="21"/>
                <w:lang w:val="en-US" w:eastAsia="zh-CN"/>
              </w:rPr>
              <w:t>mg/m</w:t>
            </w:r>
            <w:r>
              <w:rPr>
                <w:rFonts w:hint="default" w:ascii="Times New Roman" w:hAnsi="Times New Roman" w:eastAsia="宋体" w:cs="Times New Roman"/>
                <w:b/>
                <w:bCs w:val="0"/>
                <w:color w:val="auto"/>
                <w:szCs w:val="21"/>
                <w:vertAlign w:val="superscript"/>
                <w:lang w:val="en-US" w:eastAsia="zh-CN"/>
              </w:rPr>
              <w:t>3</w:t>
            </w:r>
            <w:r>
              <w:rPr>
                <w:rFonts w:hint="eastAsia" w:ascii="Times New Roman" w:hAnsi="Times New Roman" w:cs="Times New Roman"/>
                <w:b/>
                <w:bCs w:val="0"/>
                <w:color w:val="auto"/>
                <w:sz w:val="21"/>
                <w:szCs w:val="21"/>
                <w:lang w:val="en-US" w:eastAsia="zh-CN"/>
              </w:rPr>
              <w:t>）</w:t>
            </w:r>
          </w:p>
        </w:tc>
        <w:tc>
          <w:tcPr>
            <w:tcW w:w="1365" w:type="dxa"/>
            <w:tcBorders>
              <w:bottom w:val="single" w:color="auto" w:sz="12" w:space="0"/>
            </w:tcBorders>
            <w:vAlign w:val="center"/>
          </w:tcPr>
          <w:p>
            <w:pPr>
              <w:widowControl w:val="0"/>
              <w:spacing w:line="240" w:lineRule="exact"/>
              <w:jc w:val="center"/>
              <w:rPr>
                <w:rFonts w:hint="eastAsia" w:ascii="Times New Roman" w:hAnsi="Times New Roman" w:eastAsia="宋体" w:cs="Times New Roman"/>
                <w:b/>
                <w:bCs w:val="0"/>
                <w:color w:val="auto"/>
                <w:sz w:val="21"/>
                <w:szCs w:val="21"/>
                <w:lang w:val="en-US" w:eastAsia="zh-CN"/>
              </w:rPr>
            </w:pPr>
            <w:r>
              <w:rPr>
                <w:rFonts w:hint="eastAsia" w:ascii="Times New Roman" w:hAnsi="Times New Roman" w:cs="Times New Roman"/>
                <w:b/>
                <w:bCs w:val="0"/>
                <w:color w:val="auto"/>
                <w:sz w:val="21"/>
                <w:szCs w:val="21"/>
                <w:lang w:val="en-US" w:eastAsia="zh-CN"/>
              </w:rPr>
              <w:t>TVOC</w:t>
            </w:r>
            <w:r>
              <w:rPr>
                <w:rFonts w:hint="default" w:ascii="Times New Roman" w:hAnsi="Times New Roman" w:eastAsia="宋体" w:cs="Times New Roman"/>
                <w:b/>
                <w:bCs w:val="0"/>
                <w:color w:val="auto"/>
                <w:sz w:val="21"/>
                <w:szCs w:val="21"/>
                <w:lang w:val="en-US" w:eastAsia="zh-CN"/>
              </w:rPr>
              <w:t>（μg/m</w:t>
            </w:r>
            <w:r>
              <w:rPr>
                <w:rFonts w:hint="default" w:ascii="Times New Roman" w:hAnsi="Times New Roman" w:eastAsia="宋体" w:cs="Times New Roman"/>
                <w:b/>
                <w:bCs w:val="0"/>
                <w:color w:val="auto"/>
                <w:sz w:val="21"/>
                <w:szCs w:val="21"/>
                <w:vertAlign w:val="superscript"/>
                <w:lang w:val="en-US" w:eastAsia="zh-CN"/>
              </w:rPr>
              <w:t>3</w:t>
            </w:r>
            <w:r>
              <w:rPr>
                <w:rFonts w:hint="default" w:ascii="Times New Roman" w:hAnsi="Times New Roman" w:eastAsia="宋体" w:cs="Times New Roman"/>
                <w:b/>
                <w:bCs w:val="0"/>
                <w:color w:val="auto"/>
                <w:sz w:val="21"/>
                <w:szCs w:val="21"/>
                <w:lang w:val="en-US" w:eastAsia="zh-CN"/>
              </w:rPr>
              <w:t>）</w:t>
            </w:r>
            <w:r>
              <w:rPr>
                <w:rFonts w:hint="eastAsia" w:ascii="Times New Roman" w:hAnsi="Times New Roman" w:cs="Times New Roman"/>
                <w:b/>
                <w:bCs w:val="0"/>
                <w:color w:val="auto"/>
                <w:sz w:val="21"/>
                <w:szCs w:val="21"/>
                <w:lang w:val="en-US" w:eastAsia="zh-CN"/>
              </w:rPr>
              <w:t xml:space="preserve">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restart"/>
            <w:tcBorders>
              <w:top w:val="single" w:color="auto" w:sz="12" w:space="0"/>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产业园东侧</w:t>
            </w:r>
          </w:p>
        </w:tc>
        <w:tc>
          <w:tcPr>
            <w:tcW w:w="554" w:type="pct"/>
            <w:tcBorders>
              <w:top w:val="single" w:color="auto" w:sz="12" w:space="0"/>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第一天</w:t>
            </w:r>
          </w:p>
        </w:tc>
        <w:tc>
          <w:tcPr>
            <w:tcW w:w="774"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0.063</w:t>
            </w:r>
          </w:p>
        </w:tc>
        <w:tc>
          <w:tcPr>
            <w:tcW w:w="774"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op w:val="single" w:color="auto" w:sz="12" w:space="0"/>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25.2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第二天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0.058</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0.022</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14.9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第三天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0.060</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0.025</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第四天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0.054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第五天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0.062</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0.025</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第六天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0.059</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0.026</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8.70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default"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第七天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0.060</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0.026</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24.6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restar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产业园中部</w:t>
            </w: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第一天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0.063</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第二天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0.060</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4.10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第三天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0.061</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0.026</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第四天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0.052</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11.8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第五天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0.061</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0.028</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15.9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第六天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0.059</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0.027</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18.1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第七天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0.061</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0.030</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34.9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restar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产业园西侧</w:t>
            </w: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第一天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0.063</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0.022</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第二天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0.061</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0.027</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35.5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第三天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0.056</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0.027</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第四天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0.063</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8.80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vAlign w:val="center"/>
          </w:tcPr>
          <w:p>
            <w:pPr>
              <w:spacing w:line="240" w:lineRule="exact"/>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第五天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0.061</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0.025</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27.6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第六天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0.059</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eastAsia="宋体"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16.1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9" w:type="pct"/>
            <w:vMerge w:val="continue"/>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p>
        </w:tc>
        <w:tc>
          <w:tcPr>
            <w:tcW w:w="554" w:type="pct"/>
            <w:tcBorders>
              <w:tl2br w:val="nil"/>
              <w:tr2bl w:val="nil"/>
            </w:tcBorders>
            <w:shd w:val="clear" w:color="auto" w:fill="auto"/>
            <w:vAlign w:val="center"/>
          </w:tcPr>
          <w:p>
            <w:pPr>
              <w:spacing w:line="240" w:lineRule="exact"/>
              <w:jc w:val="center"/>
              <w:rPr>
                <w:rFonts w:hint="eastAsia" w:ascii="Times New Roman" w:hAnsi="Times New Roman" w:eastAsia="宋体" w:cs="Times New Roman"/>
                <w:color w:val="auto"/>
                <w:kern w:val="2"/>
                <w:sz w:val="21"/>
                <w:szCs w:val="21"/>
                <w:u w:color="000000"/>
                <w:lang w:val="en-US" w:eastAsia="zh-CN" w:bidi="ar-SA"/>
              </w:rPr>
            </w:pPr>
            <w:r>
              <w:rPr>
                <w:rFonts w:hint="eastAsia" w:ascii="Times New Roman" w:hAnsi="Times New Roman" w:eastAsia="宋体" w:cs="Times New Roman"/>
                <w:color w:val="auto"/>
                <w:kern w:val="2"/>
                <w:sz w:val="21"/>
                <w:szCs w:val="21"/>
                <w:u w:color="000000"/>
                <w:lang w:val="en-US" w:eastAsia="zh-CN" w:bidi="ar-SA"/>
              </w:rPr>
              <w:t>第七天</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0.064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0.024</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cs="Times New Roman"/>
                <w:color w:val="auto"/>
                <w:sz w:val="21"/>
                <w:szCs w:val="21"/>
                <w:u w:color="000000"/>
                <w:lang w:val="en-US" w:eastAsia="zh-CN" w:bidi="ar-SA"/>
              </w:rPr>
              <w:t>ND</w:t>
            </w:r>
          </w:p>
        </w:tc>
        <w:tc>
          <w:tcPr>
            <w:tcW w:w="774"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auto"/>
                <w:sz w:val="21"/>
                <w:szCs w:val="21"/>
                <w:u w:color="000000"/>
                <w:lang w:val="en-US" w:eastAsia="zh-CN" w:bidi="ar-SA"/>
              </w:rPr>
            </w:pPr>
            <w:r>
              <w:rPr>
                <w:rFonts w:hint="default" w:ascii="Times New Roman" w:hAnsi="Times New Roman" w:cs="Times New Roman"/>
                <w:color w:val="auto"/>
                <w:sz w:val="21"/>
                <w:szCs w:val="21"/>
                <w:u w:color="000000"/>
                <w:lang w:val="en-US" w:eastAsia="zh-CN" w:bidi="ar-SA"/>
              </w:rPr>
              <w:t>ND</w:t>
            </w:r>
          </w:p>
        </w:tc>
        <w:tc>
          <w:tcPr>
            <w:tcW w:w="799" w:type="pct"/>
            <w:tcBorders>
              <w:tl2br w:val="nil"/>
              <w:tr2bl w:val="nil"/>
            </w:tcBorders>
            <w:shd w:val="clear" w:color="auto" w:fill="auto"/>
            <w:vAlign w:val="center"/>
          </w:tcPr>
          <w:p>
            <w:pPr>
              <w:pStyle w:val="13"/>
              <w:ind w:left="0" w:leftChars="0" w:firstLine="0" w:firstLineChars="0"/>
              <w:jc w:val="center"/>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tcBorders>
              <w:tl2br w:val="nil"/>
              <w:tr2bl w:val="nil"/>
            </w:tcBorders>
            <w:vAlign w:val="center"/>
          </w:tcPr>
          <w:p>
            <w:pPr>
              <w:pStyle w:val="13"/>
              <w:ind w:left="0" w:leftChars="0" w:firstLine="0" w:firstLineChars="0"/>
              <w:jc w:val="center"/>
              <w:rPr>
                <w:rFonts w:hint="eastAsia" w:ascii="Times New Roman" w:hAnsi="Times New Roman" w:cs="Times New Roman"/>
                <w:color w:val="000000"/>
                <w:sz w:val="21"/>
                <w:szCs w:val="21"/>
                <w:u w:color="000000"/>
                <w:lang w:val="en-US" w:eastAsia="zh-CN" w:bidi="ar-SA"/>
              </w:rPr>
            </w:pP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heme="majorEastAsia" w:hAnsiTheme="majorEastAsia" w:eastAsiaTheme="majorEastAsia" w:cstheme="majorEastAsia"/>
          <w:sz w:val="24"/>
          <w:szCs w:val="24"/>
          <w:lang w:val="en-US" w:eastAsia="zh-CN"/>
        </w:rPr>
      </w:pPr>
      <w:r>
        <w:rPr>
          <w:rFonts w:hint="default" w:asciiTheme="majorEastAsia" w:hAnsiTheme="majorEastAsia" w:eastAsiaTheme="majorEastAsia" w:cstheme="majorEastAsia"/>
          <w:sz w:val="24"/>
          <w:szCs w:val="24"/>
          <w:lang w:val="en-US" w:eastAsia="zh-CN"/>
        </w:rPr>
        <w:t>2.2大气环境质量状况总结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b w:val="0"/>
          <w:bCs w:val="0"/>
          <w:sz w:val="24"/>
          <w:szCs w:val="24"/>
          <w:lang w:val="en-US" w:eastAsia="zh-CN"/>
        </w:rPr>
      </w:pPr>
      <w:r>
        <w:rPr>
          <w:rFonts w:hint="default" w:ascii="Times New Roman" w:hAnsi="Times New Roman" w:eastAsia="仿宋" w:cs="Times New Roman"/>
          <w:b w:val="0"/>
          <w:bCs w:val="0"/>
          <w:sz w:val="24"/>
          <w:szCs w:val="24"/>
          <w:lang w:val="en-US" w:eastAsia="zh-CN"/>
        </w:rPr>
        <w:t>根据现状监测报告，202</w:t>
      </w:r>
      <w:r>
        <w:rPr>
          <w:rFonts w:hint="eastAsia" w:ascii="Times New Roman" w:hAnsi="Times New Roman" w:eastAsia="仿宋" w:cs="Times New Roman"/>
          <w:b w:val="0"/>
          <w:bCs w:val="0"/>
          <w:sz w:val="24"/>
          <w:szCs w:val="24"/>
          <w:lang w:val="en-US" w:eastAsia="zh-CN"/>
        </w:rPr>
        <w:t>5</w:t>
      </w:r>
      <w:r>
        <w:rPr>
          <w:rFonts w:hint="default" w:ascii="Times New Roman" w:hAnsi="Times New Roman" w:eastAsia="仿宋" w:cs="Times New Roman"/>
          <w:b w:val="0"/>
          <w:bCs w:val="0"/>
          <w:sz w:val="24"/>
          <w:szCs w:val="24"/>
          <w:lang w:val="en-US" w:eastAsia="zh-CN"/>
        </w:rPr>
        <w:t>年监测期间开发区各监测点位PM</w:t>
      </w:r>
      <w:r>
        <w:rPr>
          <w:rFonts w:hint="default" w:ascii="Times New Roman" w:hAnsi="Times New Roman" w:eastAsia="仿宋" w:cs="Times New Roman"/>
          <w:b w:val="0"/>
          <w:bCs w:val="0"/>
          <w:sz w:val="24"/>
          <w:szCs w:val="24"/>
          <w:vertAlign w:val="subscript"/>
          <w:lang w:val="en-US" w:eastAsia="zh-CN"/>
        </w:rPr>
        <w:t>10</w:t>
      </w:r>
      <w:r>
        <w:rPr>
          <w:rFonts w:hint="default" w:ascii="Times New Roman" w:hAnsi="Times New Roman" w:eastAsia="仿宋" w:cs="Times New Roman"/>
          <w:b w:val="0"/>
          <w:bCs w:val="0"/>
          <w:sz w:val="24"/>
          <w:szCs w:val="24"/>
          <w:lang w:val="en-US" w:eastAsia="zh-CN"/>
        </w:rPr>
        <w:t>、PM</w:t>
      </w:r>
      <w:r>
        <w:rPr>
          <w:rFonts w:hint="eastAsia" w:ascii="Times New Roman" w:hAnsi="Times New Roman" w:eastAsia="仿宋" w:cs="Times New Roman"/>
          <w:b w:val="0"/>
          <w:bCs w:val="0"/>
          <w:sz w:val="24"/>
          <w:szCs w:val="24"/>
          <w:vertAlign w:val="subscript"/>
          <w:lang w:val="en-US" w:eastAsia="zh-CN"/>
        </w:rPr>
        <w:t>2.5</w:t>
      </w:r>
      <w:r>
        <w:rPr>
          <w:rFonts w:hint="default" w:ascii="Times New Roman" w:hAnsi="Times New Roman" w:eastAsia="仿宋" w:cs="Times New Roman"/>
          <w:b w:val="0"/>
          <w:bCs w:val="0"/>
          <w:sz w:val="24"/>
          <w:szCs w:val="24"/>
          <w:lang w:val="en-US" w:eastAsia="zh-CN"/>
        </w:rPr>
        <w:t>、NO</w:t>
      </w:r>
      <w:r>
        <w:rPr>
          <w:rFonts w:hint="default" w:ascii="Times New Roman" w:hAnsi="Times New Roman" w:eastAsia="仿宋" w:cs="Times New Roman"/>
          <w:b w:val="0"/>
          <w:bCs w:val="0"/>
          <w:sz w:val="24"/>
          <w:szCs w:val="24"/>
          <w:vertAlign w:val="subscript"/>
          <w:lang w:val="en-US" w:eastAsia="zh-CN"/>
        </w:rPr>
        <w:t>2</w:t>
      </w:r>
      <w:r>
        <w:rPr>
          <w:rFonts w:hint="default" w:ascii="Times New Roman" w:hAnsi="Times New Roman" w:eastAsia="仿宋" w:cs="Times New Roman"/>
          <w:b w:val="0"/>
          <w:bCs w:val="0"/>
          <w:sz w:val="24"/>
          <w:szCs w:val="24"/>
          <w:lang w:val="en-US" w:eastAsia="zh-CN"/>
        </w:rPr>
        <w:t>、SO</w:t>
      </w:r>
      <w:r>
        <w:rPr>
          <w:rFonts w:hint="default" w:ascii="Times New Roman" w:hAnsi="Times New Roman" w:eastAsia="仿宋" w:cs="Times New Roman"/>
          <w:b w:val="0"/>
          <w:bCs w:val="0"/>
          <w:sz w:val="24"/>
          <w:szCs w:val="24"/>
          <w:vertAlign w:val="subscript"/>
          <w:lang w:val="en-US" w:eastAsia="zh-CN"/>
        </w:rPr>
        <w:t>2</w:t>
      </w:r>
      <w:r>
        <w:rPr>
          <w:rFonts w:hint="eastAsia" w:ascii="Times New Roman" w:hAnsi="Times New Roman" w:eastAsia="仿宋" w:cs="Times New Roman"/>
          <w:b w:val="0"/>
          <w:bCs w:val="0"/>
          <w:sz w:val="24"/>
          <w:szCs w:val="24"/>
          <w:lang w:val="en-US" w:eastAsia="zh-CN"/>
        </w:rPr>
        <w:t>满足</w:t>
      </w:r>
      <w:r>
        <w:rPr>
          <w:rFonts w:hint="default" w:ascii="Times New Roman" w:hAnsi="Times New Roman" w:eastAsia="仿宋" w:cs="Times New Roman"/>
          <w:b w:val="0"/>
          <w:bCs w:val="0"/>
          <w:sz w:val="24"/>
          <w:szCs w:val="24"/>
          <w:lang w:val="en-US" w:eastAsia="zh-CN"/>
        </w:rPr>
        <w:t>《环境空气质量标准》（GB3095-2012）表1二级标准；</w:t>
      </w:r>
      <w:r>
        <w:rPr>
          <w:rFonts w:hint="eastAsia" w:ascii="Times New Roman" w:hAnsi="Times New Roman" w:eastAsia="仿宋" w:cs="Times New Roman"/>
          <w:b w:val="0"/>
          <w:bCs w:val="0"/>
          <w:sz w:val="24"/>
          <w:szCs w:val="24"/>
          <w:lang w:val="en-US" w:eastAsia="zh-CN"/>
        </w:rPr>
        <w:t>T</w:t>
      </w:r>
      <w:r>
        <w:rPr>
          <w:rFonts w:hint="default" w:ascii="Times New Roman" w:hAnsi="Times New Roman" w:eastAsia="仿宋" w:cs="Times New Roman"/>
          <w:b w:val="0"/>
          <w:bCs w:val="0"/>
          <w:sz w:val="24"/>
          <w:szCs w:val="24"/>
          <w:lang w:val="en-US" w:eastAsia="zh-CN"/>
        </w:rPr>
        <w:t>VOC</w:t>
      </w:r>
      <w:r>
        <w:rPr>
          <w:rFonts w:hint="eastAsia" w:ascii="Times New Roman" w:hAnsi="Times New Roman" w:eastAsia="仿宋" w:cs="Times New Roman"/>
          <w:b w:val="0"/>
          <w:bCs w:val="0"/>
          <w:sz w:val="24"/>
          <w:szCs w:val="24"/>
          <w:lang w:val="en-US" w:eastAsia="zh-CN"/>
        </w:rPr>
        <w:t>满足</w:t>
      </w:r>
      <w:r>
        <w:rPr>
          <w:rFonts w:hint="default" w:ascii="Times New Roman" w:hAnsi="Times New Roman" w:eastAsia="仿宋" w:cs="Times New Roman"/>
          <w:b w:val="0"/>
          <w:bCs w:val="0"/>
          <w:sz w:val="24"/>
          <w:szCs w:val="24"/>
          <w:lang w:val="en-US" w:eastAsia="zh-CN"/>
        </w:rPr>
        <w:t>《环境影响评价技术导则 大气环境》（HJ2.2-2018）附录D表D.1中浓度限值。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b w:val="0"/>
          <w:bCs w:val="0"/>
          <w:sz w:val="24"/>
          <w:szCs w:val="24"/>
          <w:lang w:val="en-US" w:eastAsia="zh-CN"/>
        </w:rPr>
      </w:pPr>
      <w:r>
        <w:rPr>
          <w:rFonts w:hint="default" w:ascii="Times New Roman" w:hAnsi="Times New Roman" w:eastAsia="仿宋" w:cs="Times New Roman"/>
          <w:b w:val="0"/>
          <w:bCs w:val="0"/>
          <w:sz w:val="24"/>
          <w:szCs w:val="24"/>
          <w:lang w:val="en-US" w:eastAsia="zh-CN"/>
        </w:rPr>
        <w:t>总体上来说，</w:t>
      </w:r>
      <w:r>
        <w:rPr>
          <w:rFonts w:hint="eastAsia" w:ascii="Times New Roman" w:hAnsi="Times New Roman" w:eastAsia="仿宋" w:cs="Times New Roman"/>
          <w:b w:val="0"/>
          <w:bCs w:val="0"/>
          <w:sz w:val="24"/>
          <w:szCs w:val="24"/>
          <w:lang w:val="en-US" w:eastAsia="zh-CN"/>
        </w:rPr>
        <w:t>南林桥工业集聚区</w:t>
      </w:r>
      <w:r>
        <w:rPr>
          <w:rFonts w:hint="default" w:ascii="Times New Roman" w:hAnsi="Times New Roman" w:eastAsia="仿宋" w:cs="Times New Roman"/>
          <w:b w:val="0"/>
          <w:bCs w:val="0"/>
          <w:sz w:val="24"/>
          <w:szCs w:val="24"/>
          <w:lang w:val="en-US" w:eastAsia="zh-CN"/>
        </w:rPr>
        <w:t>202</w:t>
      </w:r>
      <w:r>
        <w:rPr>
          <w:rFonts w:hint="eastAsia" w:ascii="Times New Roman" w:hAnsi="Times New Roman" w:eastAsia="仿宋" w:cs="Times New Roman"/>
          <w:b w:val="0"/>
          <w:bCs w:val="0"/>
          <w:sz w:val="24"/>
          <w:szCs w:val="24"/>
          <w:lang w:val="en-US" w:eastAsia="zh-CN"/>
        </w:rPr>
        <w:t>5</w:t>
      </w:r>
      <w:r>
        <w:rPr>
          <w:rFonts w:hint="default" w:ascii="Times New Roman" w:hAnsi="Times New Roman" w:eastAsia="仿宋" w:cs="Times New Roman"/>
          <w:b w:val="0"/>
          <w:bCs w:val="0"/>
          <w:sz w:val="24"/>
          <w:szCs w:val="24"/>
          <w:lang w:val="en-US" w:eastAsia="zh-CN"/>
        </w:rPr>
        <w:t>年度大气环境质量满足要求。</w:t>
      </w: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3、地表水环境质量状况</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bookmarkStart w:id="1" w:name="_Toc22296"/>
      <w:bookmarkEnd w:id="1"/>
      <w:r>
        <w:rPr>
          <w:rFonts w:hint="eastAsia" w:asciiTheme="majorEastAsia" w:hAnsiTheme="majorEastAsia" w:eastAsiaTheme="majorEastAsia" w:cstheme="majorEastAsia"/>
          <w:sz w:val="24"/>
          <w:szCs w:val="24"/>
          <w:lang w:val="en-US" w:eastAsia="zh-CN"/>
        </w:rPr>
        <w:t>3.1监测数据统计及分析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b w:val="0"/>
          <w:bCs w:val="0"/>
          <w:sz w:val="24"/>
          <w:szCs w:val="24"/>
          <w:lang w:val="en-US" w:eastAsia="zh-CN"/>
        </w:rPr>
        <w:t>南林桥工业集聚区</w:t>
      </w:r>
      <w:r>
        <w:rPr>
          <w:rFonts w:hint="eastAsia" w:ascii="Times New Roman" w:hAnsi="Times New Roman" w:eastAsia="仿宋" w:cs="Times New Roman"/>
          <w:sz w:val="24"/>
          <w:szCs w:val="24"/>
          <w:lang w:val="en-US" w:eastAsia="zh-CN"/>
        </w:rPr>
        <w:t>2025年度</w:t>
      </w:r>
      <w:r>
        <w:rPr>
          <w:rFonts w:hint="default" w:ascii="Times New Roman" w:hAnsi="Times New Roman" w:eastAsia="仿宋" w:cs="Times New Roman"/>
          <w:sz w:val="24"/>
          <w:szCs w:val="24"/>
          <w:lang w:val="en-US" w:eastAsia="zh-CN"/>
        </w:rPr>
        <w:t>地表水监测数据统计见表3-1</w:t>
      </w:r>
      <w:r>
        <w:rPr>
          <w:rFonts w:hint="eastAsia" w:ascii="Times New Roman" w:hAnsi="Times New Roman" w:eastAsia="仿宋" w:cs="Times New Roman"/>
          <w:sz w:val="24"/>
          <w:szCs w:val="24"/>
          <w:lang w:val="en-US" w:eastAsia="zh-CN"/>
        </w:rPr>
        <w:t>-1至表3-4-2</w:t>
      </w:r>
      <w:r>
        <w:rPr>
          <w:rFonts w:hint="default" w:ascii="Times New Roman" w:hAnsi="Times New Roman" w:eastAsia="仿宋"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表3-1</w:t>
      </w:r>
      <w:r>
        <w:rPr>
          <w:rFonts w:hint="eastAsia" w:ascii="Times New Roman" w:hAnsi="Times New Roman" w:eastAsia="仿宋" w:cs="Times New Roman"/>
          <w:b/>
          <w:bCs/>
          <w:sz w:val="24"/>
          <w:szCs w:val="24"/>
          <w:lang w:val="en-US" w:eastAsia="zh-CN"/>
        </w:rPr>
        <w:t>-1</w:t>
      </w:r>
      <w:r>
        <w:rPr>
          <w:rFonts w:hint="default" w:ascii="Times New Roman" w:hAnsi="Times New Roman" w:eastAsia="仿宋" w:cs="Times New Roman"/>
          <w:b/>
          <w:bCs/>
          <w:sz w:val="24"/>
          <w:szCs w:val="24"/>
          <w:lang w:val="en-US" w:eastAsia="zh-CN"/>
        </w:rPr>
        <w:t> </w:t>
      </w:r>
      <w:r>
        <w:rPr>
          <w:rFonts w:hint="eastAsia" w:ascii="Times New Roman" w:hAnsi="Times New Roman" w:eastAsia="仿宋" w:cs="Times New Roman"/>
          <w:b/>
          <w:bCs/>
          <w:sz w:val="24"/>
          <w:szCs w:val="24"/>
          <w:lang w:val="en-US" w:eastAsia="zh-CN"/>
        </w:rPr>
        <w:t>第一季度南林桥污水处理厂排污口上游100m</w:t>
      </w:r>
      <w:r>
        <w:rPr>
          <w:rFonts w:hint="default" w:ascii="Times New Roman" w:hAnsi="Times New Roman" w:eastAsia="仿宋" w:cs="Times New Roman"/>
          <w:b/>
          <w:bCs/>
          <w:sz w:val="24"/>
          <w:szCs w:val="24"/>
          <w:lang w:val="en-US" w:eastAsia="zh-CN"/>
        </w:rPr>
        <w:t>监测数据统计一览表</w:t>
      </w:r>
    </w:p>
    <w:tbl>
      <w:tblPr>
        <w:tblStyle w:val="9"/>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59"/>
        <w:gridCol w:w="1420"/>
        <w:gridCol w:w="2019"/>
        <w:gridCol w:w="1484"/>
        <w:gridCol w:w="18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33"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83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eastAsia" w:ascii="Times New Roman" w:hAnsi="Times New Roman" w:eastAsia="宋体" w:cs="Times New Roman"/>
                <w:b/>
                <w:color w:val="auto"/>
                <w:sz w:val="21"/>
                <w:szCs w:val="21"/>
                <w:lang w:val="en-US" w:eastAsia="zh-CN"/>
              </w:rPr>
              <w:t>采样日期</w:t>
            </w:r>
          </w:p>
        </w:tc>
        <w:tc>
          <w:tcPr>
            <w:tcW w:w="1185"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871"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076"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sz w:val="21"/>
                <w:szCs w:val="21"/>
                <w:highlight w:val="none"/>
                <w:lang w:val="en-US" w:eastAsia="zh-CN"/>
              </w:rPr>
              <w:t>南林桥污水处理厂排污口上游100m</w:t>
            </w:r>
          </w:p>
        </w:tc>
        <w:tc>
          <w:tcPr>
            <w:tcW w:w="834"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2025年2月26日</w:t>
            </w:r>
          </w:p>
        </w:tc>
        <w:tc>
          <w:tcPr>
            <w:tcW w:w="1185"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871"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076"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7.10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0.234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0.029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0.688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0.00051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3"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南林桥污水处理厂排污口上游100m</w:t>
            </w:r>
          </w:p>
        </w:tc>
        <w:tc>
          <w:tcPr>
            <w:tcW w:w="834"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2025年2月27日</w:t>
            </w: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7.08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0.211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0.658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8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8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87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7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0.00042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类标准限值要求；2、“ND”表明未检出或低于方法检出限；</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表3-1</w:t>
      </w:r>
      <w:r>
        <w:rPr>
          <w:rFonts w:hint="eastAsia" w:ascii="Times New Roman" w:hAnsi="Times New Roman" w:eastAsia="仿宋" w:cs="Times New Roman"/>
          <w:b/>
          <w:bCs/>
          <w:sz w:val="24"/>
          <w:szCs w:val="24"/>
          <w:lang w:val="en-US" w:eastAsia="zh-CN"/>
        </w:rPr>
        <w:t>-2第一季度南林桥污水处理厂排污口下游2000m</w:t>
      </w:r>
      <w:r>
        <w:rPr>
          <w:rFonts w:hint="default" w:ascii="Times New Roman" w:hAnsi="Times New Roman" w:eastAsia="仿宋" w:cs="Times New Roman"/>
          <w:b/>
          <w:bCs/>
          <w:sz w:val="24"/>
          <w:szCs w:val="24"/>
          <w:lang w:val="en-US" w:eastAsia="zh-CN"/>
        </w:rPr>
        <w:t>监测数据统计一览表</w:t>
      </w:r>
    </w:p>
    <w:tbl>
      <w:tblPr>
        <w:tblStyle w:val="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1641"/>
        <w:gridCol w:w="1918"/>
        <w:gridCol w:w="1280"/>
        <w:gridCol w:w="191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3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963"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采样日期</w:t>
            </w:r>
          </w:p>
        </w:tc>
        <w:tc>
          <w:tcPr>
            <w:tcW w:w="1126"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751"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123"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南林桥污水处理厂排污口下游2000m</w:t>
            </w:r>
          </w:p>
        </w:tc>
        <w:tc>
          <w:tcPr>
            <w:tcW w:w="963"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2025年2月26日</w:t>
            </w:r>
          </w:p>
        </w:tc>
        <w:tc>
          <w:tcPr>
            <w:tcW w:w="1126"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51"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23"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7.02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6.6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0.330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0.040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0.739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0.00035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4"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南林桥污水处理厂排污口下游2000m</w:t>
            </w:r>
          </w:p>
        </w:tc>
        <w:tc>
          <w:tcPr>
            <w:tcW w:w="963"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2025年2月26日</w:t>
            </w: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7.02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0.284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0.038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0.678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26"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23"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0.00048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w:t>
            </w:r>
          </w:p>
          <w:p>
            <w:pPr>
              <w:keepNext w:val="0"/>
              <w:keepLines w:val="0"/>
              <w:pageBreakBefore w:val="0"/>
              <w:kinsoku/>
              <w:wordWrap/>
              <w:overflowPunct/>
              <w:topLinePunct w:val="0"/>
              <w:autoSpaceDE/>
              <w:autoSpaceDN/>
              <w:bidi w:val="0"/>
              <w:adjustRightInd/>
              <w:snapToGrid/>
              <w:spacing w:line="240" w:lineRule="auto"/>
              <w:ind w:firstLine="630" w:firstLineChars="300"/>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w:t>
      </w:r>
      <w:r>
        <w:rPr>
          <w:rFonts w:hint="eastAsia" w:ascii="Times New Roman" w:hAnsi="Times New Roman" w:eastAsia="仿宋" w:cs="Times New Roman"/>
          <w:b/>
          <w:bCs/>
          <w:sz w:val="24"/>
          <w:szCs w:val="24"/>
          <w:lang w:val="en-US" w:eastAsia="zh-CN"/>
        </w:rPr>
        <w:t>2-1第二季度南林桥污水处理厂排污口上游100m</w:t>
      </w:r>
      <w:r>
        <w:rPr>
          <w:rFonts w:hint="default" w:ascii="Times New Roman" w:hAnsi="Times New Roman" w:eastAsia="仿宋" w:cs="Times New Roman"/>
          <w:b/>
          <w:bCs/>
          <w:sz w:val="24"/>
          <w:szCs w:val="24"/>
          <w:lang w:val="en-US" w:eastAsia="zh-CN"/>
        </w:rPr>
        <w:t>监测数据统计一览表</w:t>
      </w:r>
    </w:p>
    <w:tbl>
      <w:tblPr>
        <w:tblStyle w:val="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1651"/>
        <w:gridCol w:w="1905"/>
        <w:gridCol w:w="1353"/>
        <w:gridCol w:w="184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tblHeader/>
          <w:jc w:val="center"/>
        </w:trPr>
        <w:tc>
          <w:tcPr>
            <w:tcW w:w="1036"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969"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采样日期</w:t>
            </w:r>
          </w:p>
        </w:tc>
        <w:tc>
          <w:tcPr>
            <w:tcW w:w="1118"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79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082"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sz w:val="21"/>
                <w:szCs w:val="21"/>
                <w:highlight w:val="none"/>
                <w:lang w:val="en-US" w:eastAsia="zh-CN"/>
              </w:rPr>
              <w:t>南林桥污水处理厂排污口上游100m</w:t>
            </w:r>
          </w:p>
        </w:tc>
        <w:tc>
          <w:tcPr>
            <w:tcW w:w="969"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2025年5月21日</w:t>
            </w:r>
          </w:p>
        </w:tc>
        <w:tc>
          <w:tcPr>
            <w:tcW w:w="1118"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94"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082"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6.93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sz w:val="21"/>
                <w:szCs w:val="21"/>
                <w:lang w:val="en-US" w:eastAsia="zh-CN"/>
              </w:rPr>
              <w:t>溶解氧</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0.313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0.038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0.590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南林桥污水处理厂排污口上游100m</w:t>
            </w:r>
          </w:p>
        </w:tc>
        <w:tc>
          <w:tcPr>
            <w:tcW w:w="969"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2025年5月22日</w:t>
            </w: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6.95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sz w:val="21"/>
                <w:szCs w:val="21"/>
                <w:lang w:val="en-US" w:eastAsia="zh-CN"/>
              </w:rPr>
              <w:t>溶解氧</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0.324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0.038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0.558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36"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9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08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w:t>
            </w:r>
          </w:p>
          <w:p>
            <w:pPr>
              <w:keepNext w:val="0"/>
              <w:keepLines w:val="0"/>
              <w:pageBreakBefore w:val="0"/>
              <w:kinsoku/>
              <w:wordWrap/>
              <w:overflowPunct/>
              <w:topLinePunct w:val="0"/>
              <w:autoSpaceDE/>
              <w:autoSpaceDN/>
              <w:bidi w:val="0"/>
              <w:adjustRightInd/>
              <w:snapToGrid/>
              <w:spacing w:line="240" w:lineRule="auto"/>
              <w:ind w:firstLine="630" w:firstLineChars="300"/>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w:t>
      </w:r>
      <w:r>
        <w:rPr>
          <w:rFonts w:hint="eastAsia" w:ascii="Times New Roman" w:hAnsi="Times New Roman" w:eastAsia="仿宋" w:cs="Times New Roman"/>
          <w:b/>
          <w:bCs/>
          <w:sz w:val="24"/>
          <w:szCs w:val="24"/>
          <w:lang w:val="en-US" w:eastAsia="zh-CN"/>
        </w:rPr>
        <w:t>2-2第二季度南林桥污水处理厂排污口下游2000m</w:t>
      </w:r>
      <w:r>
        <w:rPr>
          <w:rFonts w:hint="default" w:ascii="Times New Roman" w:hAnsi="Times New Roman" w:eastAsia="仿宋" w:cs="Times New Roman"/>
          <w:b/>
          <w:bCs/>
          <w:sz w:val="24"/>
          <w:szCs w:val="24"/>
          <w:lang w:val="en-US" w:eastAsia="zh-CN"/>
        </w:rPr>
        <w:t>监测数据统计一览表</w:t>
      </w:r>
    </w:p>
    <w:tbl>
      <w:tblPr>
        <w:tblStyle w:val="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1625"/>
        <w:gridCol w:w="1791"/>
        <w:gridCol w:w="1300"/>
        <w:gridCol w:w="205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53" w:hRule="atLeast"/>
          <w:tblHeader/>
          <w:jc w:val="center"/>
        </w:trPr>
        <w:tc>
          <w:tcPr>
            <w:tcW w:w="102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95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采样日期</w:t>
            </w:r>
          </w:p>
        </w:tc>
        <w:tc>
          <w:tcPr>
            <w:tcW w:w="1051"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763"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206"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29" w:hRule="atLeast"/>
          <w:jc w:val="center"/>
        </w:trPr>
        <w:tc>
          <w:tcPr>
            <w:tcW w:w="1024"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南林桥污水处理厂排污口下游2000m</w:t>
            </w:r>
          </w:p>
        </w:tc>
        <w:tc>
          <w:tcPr>
            <w:tcW w:w="954"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2025年5月21日</w:t>
            </w:r>
          </w:p>
        </w:tc>
        <w:tc>
          <w:tcPr>
            <w:tcW w:w="1051"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63"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206"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6.94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42"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0.324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0.045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0.537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南林桥污水处理厂排污口下游2000m</w:t>
            </w:r>
          </w:p>
        </w:tc>
        <w:tc>
          <w:tcPr>
            <w:tcW w:w="954"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2025年5月22日</w:t>
            </w: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6.99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0.329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0.579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2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5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63"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20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w:t>
            </w:r>
          </w:p>
          <w:p>
            <w:pPr>
              <w:keepNext w:val="0"/>
              <w:keepLines w:val="0"/>
              <w:pageBreakBefore w:val="0"/>
              <w:kinsoku/>
              <w:wordWrap/>
              <w:overflowPunct/>
              <w:topLinePunct w:val="0"/>
              <w:autoSpaceDE/>
              <w:autoSpaceDN/>
              <w:bidi w:val="0"/>
              <w:adjustRightInd/>
              <w:snapToGrid/>
              <w:spacing w:line="240" w:lineRule="auto"/>
              <w:ind w:firstLine="630" w:firstLineChars="300"/>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w:t>
      </w:r>
      <w:r>
        <w:rPr>
          <w:rFonts w:hint="eastAsia" w:ascii="Times New Roman" w:hAnsi="Times New Roman" w:eastAsia="仿宋" w:cs="Times New Roman"/>
          <w:b/>
          <w:bCs/>
          <w:sz w:val="24"/>
          <w:szCs w:val="24"/>
          <w:lang w:val="en-US" w:eastAsia="zh-CN"/>
        </w:rPr>
        <w:t>3-1第三季度南林桥污水处理厂排污口上游100m</w:t>
      </w:r>
      <w:r>
        <w:rPr>
          <w:rFonts w:hint="default" w:ascii="Times New Roman" w:hAnsi="Times New Roman" w:eastAsia="仿宋" w:cs="Times New Roman"/>
          <w:b/>
          <w:bCs/>
          <w:sz w:val="24"/>
          <w:szCs w:val="24"/>
          <w:lang w:val="en-US" w:eastAsia="zh-CN"/>
        </w:rPr>
        <w:t>监测数据统计一览表</w:t>
      </w:r>
    </w:p>
    <w:tbl>
      <w:tblPr>
        <w:tblStyle w:val="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1641"/>
        <w:gridCol w:w="1876"/>
        <w:gridCol w:w="1302"/>
        <w:gridCol w:w="193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5" w:hRule="atLeast"/>
          <w:tblHeader/>
          <w:jc w:val="center"/>
        </w:trPr>
        <w:tc>
          <w:tcPr>
            <w:tcW w:w="1035"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963"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采样日期</w:t>
            </w:r>
          </w:p>
        </w:tc>
        <w:tc>
          <w:tcPr>
            <w:tcW w:w="1101"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76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136"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sz w:val="21"/>
                <w:szCs w:val="21"/>
                <w:highlight w:val="none"/>
                <w:lang w:val="en-US" w:eastAsia="zh-CN"/>
              </w:rPr>
              <w:t>南林桥污水处理厂排污口上游100m</w:t>
            </w:r>
          </w:p>
        </w:tc>
        <w:tc>
          <w:tcPr>
            <w:tcW w:w="963"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2025年7月31日</w:t>
            </w:r>
          </w:p>
        </w:tc>
        <w:tc>
          <w:tcPr>
            <w:tcW w:w="1101"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64"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36"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7.13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7.3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0.274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0.410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35"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南林桥污水处理厂排污口上游100m</w:t>
            </w:r>
          </w:p>
        </w:tc>
        <w:tc>
          <w:tcPr>
            <w:tcW w:w="963"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2025年8月1日</w:t>
            </w: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36"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7.15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7.0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0.288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0.023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0.650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3"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1"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36"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w:t>
            </w:r>
          </w:p>
          <w:p>
            <w:pPr>
              <w:keepNext w:val="0"/>
              <w:keepLines w:val="0"/>
              <w:pageBreakBefore w:val="0"/>
              <w:kinsoku/>
              <w:wordWrap/>
              <w:overflowPunct/>
              <w:topLinePunct w:val="0"/>
              <w:autoSpaceDE/>
              <w:autoSpaceDN/>
              <w:bidi w:val="0"/>
              <w:adjustRightInd/>
              <w:snapToGrid/>
              <w:spacing w:line="240" w:lineRule="auto"/>
              <w:ind w:firstLine="630" w:firstLineChars="300"/>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w:t>
      </w:r>
      <w:r>
        <w:rPr>
          <w:rFonts w:hint="eastAsia" w:ascii="Times New Roman" w:hAnsi="Times New Roman" w:eastAsia="仿宋" w:cs="Times New Roman"/>
          <w:b/>
          <w:bCs/>
          <w:sz w:val="24"/>
          <w:szCs w:val="24"/>
          <w:lang w:val="en-US" w:eastAsia="zh-CN"/>
        </w:rPr>
        <w:t>3-2第三季度南林桥污水处理厂排污口下游2000m</w:t>
      </w:r>
      <w:r>
        <w:rPr>
          <w:rFonts w:hint="default" w:ascii="Times New Roman" w:hAnsi="Times New Roman" w:eastAsia="仿宋" w:cs="Times New Roman"/>
          <w:b/>
          <w:bCs/>
          <w:sz w:val="24"/>
          <w:szCs w:val="24"/>
          <w:lang w:val="en-US" w:eastAsia="zh-CN"/>
        </w:rPr>
        <w:t>监测数据统计一览表</w:t>
      </w:r>
    </w:p>
    <w:tbl>
      <w:tblPr>
        <w:tblStyle w:val="9"/>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1634"/>
        <w:gridCol w:w="1891"/>
        <w:gridCol w:w="1278"/>
        <w:gridCol w:w="195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35"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959"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采样日期</w:t>
            </w:r>
          </w:p>
        </w:tc>
        <w:tc>
          <w:tcPr>
            <w:tcW w:w="1110"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750"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14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南林桥污水处理厂排污口下游2000m</w:t>
            </w:r>
          </w:p>
        </w:tc>
        <w:tc>
          <w:tcPr>
            <w:tcW w:w="959" w:type="pct"/>
            <w:vMerge w:val="restar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2025年7月31日</w:t>
            </w:r>
          </w:p>
        </w:tc>
        <w:tc>
          <w:tcPr>
            <w:tcW w:w="1110"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50"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44"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7.12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6.9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0.383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0.048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0.451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南林桥污水处理厂排污口下游2000m</w:t>
            </w:r>
          </w:p>
        </w:tc>
        <w:tc>
          <w:tcPr>
            <w:tcW w:w="959"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2025年8月1日</w:t>
            </w: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4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7.16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7.2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3.3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0.414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0.053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0.660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5"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59"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10"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750"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w:t>
            </w:r>
          </w:p>
          <w:p>
            <w:pPr>
              <w:keepNext w:val="0"/>
              <w:keepLines w:val="0"/>
              <w:pageBreakBefore w:val="0"/>
              <w:kinsoku/>
              <w:wordWrap/>
              <w:overflowPunct/>
              <w:topLinePunct w:val="0"/>
              <w:autoSpaceDE/>
              <w:autoSpaceDN/>
              <w:bidi w:val="0"/>
              <w:adjustRightInd/>
              <w:snapToGrid/>
              <w:spacing w:line="240" w:lineRule="auto"/>
              <w:ind w:firstLine="630" w:firstLineChars="300"/>
              <w:jc w:val="both"/>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jc w:val="center"/>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w:t>
      </w:r>
      <w:r>
        <w:rPr>
          <w:rFonts w:hint="eastAsia" w:ascii="Times New Roman" w:hAnsi="Times New Roman" w:eastAsia="仿宋" w:cs="Times New Roman"/>
          <w:b/>
          <w:bCs/>
          <w:sz w:val="24"/>
          <w:szCs w:val="24"/>
          <w:lang w:val="en-US" w:eastAsia="zh-CN"/>
        </w:rPr>
        <w:t>4-1第四季度南林桥污水处理厂排污口上游100m</w:t>
      </w:r>
      <w:r>
        <w:rPr>
          <w:rFonts w:hint="default" w:ascii="Times New Roman" w:hAnsi="Times New Roman" w:eastAsia="仿宋" w:cs="Times New Roman"/>
          <w:b/>
          <w:bCs/>
          <w:sz w:val="24"/>
          <w:szCs w:val="24"/>
          <w:lang w:val="en-US" w:eastAsia="zh-CN"/>
        </w:rPr>
        <w:t>监测数据统计一览表</w:t>
      </w:r>
    </w:p>
    <w:tbl>
      <w:tblPr>
        <w:tblStyle w:val="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51"/>
        <w:gridCol w:w="1636"/>
        <w:gridCol w:w="1871"/>
        <w:gridCol w:w="1302"/>
        <w:gridCol w:w="195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28"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960"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采样日期</w:t>
            </w:r>
          </w:p>
        </w:tc>
        <w:tc>
          <w:tcPr>
            <w:tcW w:w="1098"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76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149"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南林桥污水处理厂排污口上游100m</w:t>
            </w:r>
          </w:p>
        </w:tc>
        <w:tc>
          <w:tcPr>
            <w:tcW w:w="960"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2025年10月14日</w:t>
            </w: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64"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8.4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0.266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0.040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0.499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铅</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eastAsia="宋体" w:cs="Times New Roman"/>
                <w:color w:val="auto"/>
                <w:sz w:val="21"/>
                <w:szCs w:val="21"/>
                <w:u w:color="000000"/>
                <w:lang w:val="en-US" w:eastAsia="zh-CN" w:bidi="ar-SA"/>
              </w:rPr>
              <w:t>铜</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锌</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sz w:val="21"/>
                <w:szCs w:val="21"/>
                <w:highlight w:val="none"/>
                <w:lang w:val="en-US" w:eastAsia="zh-CN"/>
              </w:rPr>
              <w:t>南林桥污水处理厂排污口上游100m</w:t>
            </w:r>
          </w:p>
        </w:tc>
        <w:tc>
          <w:tcPr>
            <w:tcW w:w="960"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2025年10月15日</w:t>
            </w: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64"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p>
        </w:tc>
        <w:tc>
          <w:tcPr>
            <w:tcW w:w="960"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64"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8.8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0.258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0.041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0.489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铅</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eastAsia="宋体" w:cs="Times New Roman"/>
                <w:color w:val="auto"/>
                <w:sz w:val="21"/>
                <w:szCs w:val="21"/>
                <w:u w:color="000000"/>
                <w:lang w:val="en-US" w:eastAsia="zh-CN" w:bidi="ar-SA"/>
              </w:rPr>
              <w:t>铜</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8"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098"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锌</w:t>
            </w:r>
          </w:p>
        </w:tc>
        <w:tc>
          <w:tcPr>
            <w:tcW w:w="76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49"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jc w:val="center"/>
        <w:rPr>
          <w:rFonts w:hint="default" w:ascii="Times New Roman" w:hAnsi="Times New Roman" w:eastAsia="仿宋" w:cs="Times New Roman"/>
          <w:b/>
          <w:bCs/>
          <w:sz w:val="24"/>
          <w:szCs w:val="24"/>
          <w:lang w:val="en-US" w:eastAsia="zh-CN"/>
        </w:rPr>
      </w:pPr>
      <w:r>
        <w:rPr>
          <w:rFonts w:hint="default" w:ascii="Times New Roman" w:hAnsi="Times New Roman" w:eastAsia="仿宋" w:cs="Times New Roman"/>
          <w:b/>
          <w:bCs/>
          <w:sz w:val="24"/>
          <w:szCs w:val="24"/>
          <w:lang w:val="en-US" w:eastAsia="zh-CN"/>
        </w:rPr>
        <w:t>表3-</w:t>
      </w:r>
      <w:r>
        <w:rPr>
          <w:rFonts w:hint="eastAsia" w:ascii="Times New Roman" w:hAnsi="Times New Roman" w:eastAsia="仿宋" w:cs="Times New Roman"/>
          <w:b/>
          <w:bCs/>
          <w:sz w:val="24"/>
          <w:szCs w:val="24"/>
          <w:lang w:val="en-US" w:eastAsia="zh-CN"/>
        </w:rPr>
        <w:t>4-2第四季度南林桥污水处理厂排污口下游2000m</w:t>
      </w:r>
      <w:r>
        <w:rPr>
          <w:rFonts w:hint="default" w:ascii="Times New Roman" w:hAnsi="Times New Roman" w:eastAsia="仿宋" w:cs="Times New Roman"/>
          <w:b/>
          <w:bCs/>
          <w:sz w:val="24"/>
          <w:szCs w:val="24"/>
          <w:lang w:val="en-US" w:eastAsia="zh-CN"/>
        </w:rPr>
        <w:t>监测数据统计一览表</w:t>
      </w:r>
    </w:p>
    <w:tbl>
      <w:tblPr>
        <w:tblStyle w:val="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1636"/>
        <w:gridCol w:w="1883"/>
        <w:gridCol w:w="1273"/>
        <w:gridCol w:w="19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22"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u w:color="000000"/>
                <w:lang w:val="en-US" w:eastAsia="zh-CN" w:bidi="ar-SA"/>
              </w:rPr>
            </w:pPr>
            <w:r>
              <w:rPr>
                <w:rFonts w:hint="default" w:ascii="Times New Roman" w:hAnsi="Times New Roman" w:eastAsia="宋体" w:cs="Times New Roman"/>
                <w:b/>
                <w:color w:val="auto"/>
                <w:sz w:val="21"/>
                <w:szCs w:val="21"/>
              </w:rPr>
              <w:t>检测点位</w:t>
            </w:r>
          </w:p>
        </w:tc>
        <w:tc>
          <w:tcPr>
            <w:tcW w:w="960"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采样日期</w:t>
            </w:r>
          </w:p>
        </w:tc>
        <w:tc>
          <w:tcPr>
            <w:tcW w:w="1105"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747"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1165"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restar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南林桥污水处理厂排污口下游2000m</w:t>
            </w:r>
          </w:p>
        </w:tc>
        <w:tc>
          <w:tcPr>
            <w:tcW w:w="960" w:type="pct"/>
            <w:vMerge w:val="restar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sz w:val="21"/>
                <w:szCs w:val="21"/>
                <w:lang w:val="en-US" w:eastAsia="zh-CN"/>
              </w:rPr>
              <w:t>2025年10月14日</w:t>
            </w: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47"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47"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8.9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21"/>
                <w:szCs w:val="21"/>
                <w:highlight w:val="none"/>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0.356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0.730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铅</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eastAsia="宋体" w:cs="Times New Roman"/>
                <w:color w:val="auto"/>
                <w:sz w:val="21"/>
                <w:szCs w:val="21"/>
                <w:u w:color="000000"/>
                <w:lang w:val="en-US" w:eastAsia="zh-CN" w:bidi="ar-SA"/>
              </w:rPr>
              <w:t>铜</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锌</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lang w:val="en-US" w:eastAsia="zh-CN"/>
              </w:rPr>
              <w:t>南林桥污水处理厂排污口下游2000m</w:t>
            </w:r>
          </w:p>
        </w:tc>
        <w:tc>
          <w:tcPr>
            <w:tcW w:w="960"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eastAsia="宋体" w:cs="Times New Roman"/>
                <w:color w:val="000000"/>
                <w:sz w:val="21"/>
                <w:szCs w:val="21"/>
                <w:lang w:val="en-US" w:eastAsia="zh-CN"/>
              </w:rPr>
              <w:t>2025年10月15日</w:t>
            </w: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pH值</w:t>
            </w:r>
          </w:p>
        </w:tc>
        <w:tc>
          <w:tcPr>
            <w:tcW w:w="747"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无量纲</w:t>
            </w: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p>
        </w:tc>
        <w:tc>
          <w:tcPr>
            <w:tcW w:w="960" w:type="pct"/>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b w:val="0"/>
                <w:bCs/>
                <w:lang w:val="en-US" w:eastAsia="zh-CN"/>
              </w:rPr>
              <w:t>溶解氧</w:t>
            </w:r>
          </w:p>
        </w:tc>
        <w:tc>
          <w:tcPr>
            <w:tcW w:w="747" w:type="pct"/>
            <w:vMerge w:val="restar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mg/L</w:t>
            </w: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8.8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COD</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13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lang w:val="en-US" w:eastAsia="zh-CN"/>
              </w:rPr>
              <w:t>BOD</w:t>
            </w:r>
            <w:r>
              <w:rPr>
                <w:rFonts w:hint="eastAsia" w:ascii="Times New Roman" w:hAnsi="Times New Roman" w:cs="Times New Roman"/>
                <w:color w:val="000000"/>
                <w:sz w:val="21"/>
                <w:szCs w:val="21"/>
                <w:vertAlign w:val="subscript"/>
                <w:lang w:val="en-US" w:eastAsia="zh-CN"/>
              </w:rPr>
              <w:t>5</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lang w:val="en-US" w:eastAsia="zh-CN"/>
              </w:rPr>
              <w:t>氨氮</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0.368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总磷</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0.053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总氮</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0.656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石油类</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氰化物</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bCs/>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挥发酚</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铅</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eastAsia="宋体" w:cs="Times New Roman"/>
                <w:color w:val="auto"/>
                <w:sz w:val="21"/>
                <w:szCs w:val="21"/>
                <w:u w:color="000000"/>
                <w:lang w:val="en-US" w:eastAsia="zh-CN" w:bidi="ar-SA"/>
              </w:rPr>
              <w:t>铜</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2"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96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lang w:val="en-US" w:eastAsia="zh-CN"/>
              </w:rPr>
            </w:pPr>
          </w:p>
        </w:tc>
        <w:tc>
          <w:tcPr>
            <w:tcW w:w="1105" w:type="pct"/>
            <w:tcBorders>
              <w:tl2br w:val="nil"/>
              <w:tr2bl w:val="nil"/>
            </w:tcBorders>
            <w:vAlign w:val="center"/>
          </w:tcPr>
          <w:p>
            <w:pPr>
              <w:pStyle w:val="13"/>
              <w:ind w:left="0" w:leftChars="0" w:firstLine="0" w:firstLineChars="0"/>
              <w:jc w:val="center"/>
              <w:rPr>
                <w:rFonts w:hint="eastAsia" w:ascii="Times New Roman" w:hAnsi="Times New Roman" w:eastAsia="宋体" w:cs="Times New Roman"/>
                <w:color w:val="auto"/>
                <w:sz w:val="21"/>
                <w:szCs w:val="21"/>
                <w:u w:color="000000"/>
                <w:lang w:val="en-US" w:eastAsia="zh-CN" w:bidi="ar-SA"/>
              </w:rPr>
            </w:pPr>
            <w:r>
              <w:rPr>
                <w:rFonts w:hint="eastAsia" w:ascii="Times New Roman" w:hAnsi="Times New Roman" w:cs="Times New Roman"/>
                <w:color w:val="auto"/>
                <w:sz w:val="21"/>
                <w:szCs w:val="21"/>
                <w:u w:color="000000"/>
                <w:lang w:val="en-US" w:eastAsia="zh-CN" w:bidi="ar-SA"/>
              </w:rPr>
              <w:t>锌</w:t>
            </w:r>
          </w:p>
        </w:tc>
        <w:tc>
          <w:tcPr>
            <w:tcW w:w="74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p>
        </w:tc>
        <w:tc>
          <w:tcPr>
            <w:tcW w:w="1165"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5000" w:type="pct"/>
            <w:gridSpan w:val="5"/>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1、监测结果执行《地表水环境质量标准》（GB3838-2002）表1中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类标准限值要求；2、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3.2地表水环境质量状况总结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val="0"/>
          <w:bCs w:val="0"/>
          <w:sz w:val="24"/>
          <w:szCs w:val="24"/>
          <w:lang w:val="en-US" w:eastAsia="zh-CN"/>
        </w:rPr>
        <w:t>2025年度监测期间，开发区各地表水监测点位pH值、水温、溶解氧、化学需氧量、五日生化需氧量、氨氮、石油类、总磷、总氮、氰化物、挥发酚、六价铬、锌、铅、铜检出后均能达到《地表水环境质量标准》（GB 3838-2002）表1中的“Ⅲ类”限值要求。</w:t>
      </w: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4、地下水环境质量状况</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bookmarkStart w:id="2" w:name="_Toc916"/>
      <w:bookmarkEnd w:id="2"/>
      <w:r>
        <w:rPr>
          <w:rFonts w:hint="eastAsia" w:asciiTheme="majorEastAsia" w:hAnsiTheme="majorEastAsia" w:eastAsiaTheme="majorEastAsia" w:cstheme="majorEastAsia"/>
          <w:sz w:val="24"/>
          <w:szCs w:val="24"/>
          <w:lang w:val="en-US" w:eastAsia="zh-CN"/>
        </w:rPr>
        <w:t>4.1监测数据统计及分析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val="0"/>
          <w:bCs w:val="0"/>
          <w:sz w:val="24"/>
          <w:szCs w:val="24"/>
          <w:lang w:val="en-US" w:eastAsia="zh-CN"/>
        </w:rPr>
        <w:t>地下水监测数据统计见表4-1。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表4-1 地下水监测数据统计一览表</w:t>
      </w:r>
    </w:p>
    <w:tbl>
      <w:tblPr>
        <w:tblStyle w:val="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975"/>
        <w:gridCol w:w="1247"/>
        <w:gridCol w:w="1205"/>
        <w:gridCol w:w="1268"/>
        <w:gridCol w:w="1205"/>
        <w:gridCol w:w="127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3" w:hRule="atLeast"/>
          <w:tblHeader/>
          <w:jc w:val="center"/>
        </w:trPr>
        <w:tc>
          <w:tcPr>
            <w:tcW w:w="789" w:type="pct"/>
            <w:vMerge w:val="restart"/>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检测项目</w:t>
            </w:r>
          </w:p>
        </w:tc>
        <w:tc>
          <w:tcPr>
            <w:tcW w:w="572" w:type="pct"/>
            <w:vMerge w:val="restart"/>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单位</w:t>
            </w:r>
          </w:p>
        </w:tc>
        <w:tc>
          <w:tcPr>
            <w:tcW w:w="3638" w:type="pct"/>
            <w:gridSpan w:val="5"/>
            <w:vAlign w:val="center"/>
          </w:tcPr>
          <w:p>
            <w:pPr>
              <w:spacing w:line="240" w:lineRule="exact"/>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检测结果</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1" w:hRule="atLeast"/>
          <w:tblHeader/>
          <w:jc w:val="center"/>
        </w:trPr>
        <w:tc>
          <w:tcPr>
            <w:tcW w:w="789" w:type="pct"/>
            <w:vMerge w:val="continue"/>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rPr>
            </w:pPr>
          </w:p>
        </w:tc>
        <w:tc>
          <w:tcPr>
            <w:tcW w:w="572" w:type="pct"/>
            <w:vMerge w:val="continue"/>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p>
        </w:tc>
        <w:tc>
          <w:tcPr>
            <w:tcW w:w="732"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1#</w:t>
            </w:r>
          </w:p>
        </w:tc>
        <w:tc>
          <w:tcPr>
            <w:tcW w:w="707"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2#</w:t>
            </w:r>
          </w:p>
        </w:tc>
        <w:tc>
          <w:tcPr>
            <w:tcW w:w="744"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3#</w:t>
            </w:r>
          </w:p>
        </w:tc>
        <w:tc>
          <w:tcPr>
            <w:tcW w:w="707"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4#</w:t>
            </w:r>
          </w:p>
        </w:tc>
        <w:tc>
          <w:tcPr>
            <w:tcW w:w="747" w:type="pct"/>
            <w:tcBorders>
              <w:bottom w:val="single" w:color="auto" w:sz="12" w:space="0"/>
            </w:tcBorders>
            <w:vAlign w:val="center"/>
          </w:tcPr>
          <w:p>
            <w:pPr>
              <w:spacing w:line="240" w:lineRule="exact"/>
              <w:jc w:val="center"/>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pH值</w:t>
            </w:r>
          </w:p>
        </w:tc>
        <w:tc>
          <w:tcPr>
            <w:tcW w:w="572" w:type="pct"/>
            <w:tcBorders>
              <w:top w:val="single" w:color="auto" w:sz="12" w:space="0"/>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无量纲</w:t>
            </w:r>
          </w:p>
        </w:tc>
        <w:tc>
          <w:tcPr>
            <w:tcW w:w="732"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7.02</w:t>
            </w:r>
          </w:p>
        </w:tc>
        <w:tc>
          <w:tcPr>
            <w:tcW w:w="707"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7.08</w:t>
            </w:r>
          </w:p>
        </w:tc>
        <w:tc>
          <w:tcPr>
            <w:tcW w:w="744"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7.05</w:t>
            </w:r>
          </w:p>
        </w:tc>
        <w:tc>
          <w:tcPr>
            <w:tcW w:w="707"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7.03</w:t>
            </w:r>
          </w:p>
        </w:tc>
        <w:tc>
          <w:tcPr>
            <w:tcW w:w="747" w:type="pct"/>
            <w:tcBorders>
              <w:top w:val="single" w:color="auto" w:sz="12" w:space="0"/>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7.16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水位</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米</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67.55</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74.56</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74.05</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80.00</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97.42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色度</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倍</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ND</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总硬度</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mmol</w:t>
            </w:r>
            <w:r>
              <w:rPr>
                <w:rFonts w:hint="default" w:ascii="Times New Roman" w:hAnsi="Times New Roman" w:eastAsia="宋体" w:cs="Times New Roman"/>
                <w:color w:val="000000"/>
                <w:sz w:val="21"/>
                <w:szCs w:val="21"/>
                <w:u w:color="000000"/>
                <w:lang w:val="en-US" w:eastAsia="zh-CN" w:bidi="ar-SA"/>
              </w:rPr>
              <w:t>/L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62</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59</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56</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63</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63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硫酸盐</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22.5</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24.1</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25.2</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23.1</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21.9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氟化物</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0.10</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0.10</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0.11</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0.12</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0.12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高锰酸盐指数</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1.1</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0.9</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1.9</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2.0</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1.6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六价铬</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 xml:space="preserve">ND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氨氮</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0.049</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0.035</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0.150</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0.170</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0.038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总大肠菌群</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 xml:space="preserve">MPN/L                                      </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kern w:val="2"/>
                <w:sz w:val="21"/>
                <w:szCs w:val="21"/>
                <w:lang w:val="en-US" w:eastAsia="zh-CN" w:bidi="ar-SA"/>
              </w:rPr>
            </w:pPr>
            <w:r>
              <w:rPr>
                <w:rFonts w:hint="default" w:ascii="Times New Roman" w:hAnsi="Times New Roman" w:cs="Times New Roman"/>
                <w:color w:val="000000"/>
                <w:sz w:val="21"/>
                <w:szCs w:val="21"/>
                <w:lang w:val="en-US" w:eastAsia="zh-CN"/>
              </w:rPr>
              <w:t>&lt;</w:t>
            </w:r>
            <w:r>
              <w:rPr>
                <w:rFonts w:hint="eastAsia" w:ascii="Times New Roman" w:hAnsi="Times New Roman" w:cs="Times New Roman"/>
                <w:color w:val="000000"/>
                <w:sz w:val="21"/>
                <w:szCs w:val="21"/>
                <w:lang w:val="en-US" w:eastAsia="zh-CN"/>
              </w:rPr>
              <w:t>2</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&lt;2</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&lt;2</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sz w:val="21"/>
                <w:szCs w:val="21"/>
                <w:lang w:val="en-US" w:eastAsia="zh-CN"/>
              </w:rPr>
              <w:t>&lt;2</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sz w:val="21"/>
                <w:szCs w:val="21"/>
                <w:lang w:val="en-US" w:eastAsia="zh-CN"/>
              </w:rPr>
              <w:t>&lt;</w:t>
            </w:r>
            <w:r>
              <w:rPr>
                <w:rFonts w:hint="eastAsia" w:ascii="Times New Roman" w:hAnsi="Times New Roman" w:cs="Times New Roman"/>
                <w:color w:val="000000"/>
                <w:sz w:val="21"/>
                <w:szCs w:val="21"/>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细菌总数</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CFU/mL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40</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40</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50</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50</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sz w:val="21"/>
                <w:szCs w:val="21"/>
                <w:lang w:val="en-US" w:eastAsia="zh-CN"/>
              </w:rPr>
              <w:t>50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铜</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锌</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汞</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铬</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铅</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苯酚</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lang w:val="en-US" w:eastAsia="zh-CN"/>
              </w:rPr>
              <w:t xml:space="preserve">ND </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硝酸盐</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0.035</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0.024</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0.030</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0.068</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0.043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亚硝酸盐</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0.007</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0.007</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0.006</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kern w:val="2"/>
                <w:sz w:val="21"/>
                <w:szCs w:val="21"/>
                <w:u w:color="000000"/>
                <w:lang w:val="en-US" w:eastAsia="zh-CN" w:bidi="ar-SA"/>
              </w:rPr>
            </w:pPr>
            <w:r>
              <w:rPr>
                <w:rFonts w:hint="eastAsia" w:ascii="Times New Roman" w:hAnsi="Times New Roman" w:cs="Times New Roman"/>
                <w:color w:val="000000"/>
                <w:sz w:val="21"/>
                <w:szCs w:val="21"/>
                <w:u w:color="000000"/>
                <w:lang w:val="en-US" w:eastAsia="zh-CN" w:bidi="ar-SA"/>
              </w:rPr>
              <w:t>0.008</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9"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sz w:val="21"/>
                <w:szCs w:val="21"/>
                <w:u w:color="000000"/>
                <w:lang w:val="en-US" w:eastAsia="zh-CN" w:bidi="ar-SA"/>
              </w:rPr>
            </w:pPr>
            <w:r>
              <w:rPr>
                <w:rFonts w:hint="eastAsia" w:ascii="Times New Roman" w:hAnsi="Times New Roman" w:eastAsia="宋体" w:cs="Times New Roman"/>
                <w:color w:val="000000"/>
                <w:sz w:val="21"/>
                <w:szCs w:val="21"/>
                <w:u w:color="000000"/>
                <w:lang w:val="en-US" w:eastAsia="zh-CN" w:bidi="ar-SA"/>
              </w:rPr>
              <w:t>砷</w:t>
            </w:r>
          </w:p>
        </w:tc>
        <w:tc>
          <w:tcPr>
            <w:tcW w:w="572" w:type="pct"/>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sz w:val="21"/>
                <w:szCs w:val="21"/>
                <w:u w:color="000000"/>
                <w:lang w:val="en-US" w:eastAsia="zh-CN" w:bidi="ar-SA"/>
              </w:rPr>
            </w:pPr>
            <w:r>
              <w:rPr>
                <w:rFonts w:hint="default" w:ascii="Times New Roman" w:hAnsi="Times New Roman" w:eastAsia="宋体" w:cs="Times New Roman"/>
                <w:color w:val="000000"/>
                <w:sz w:val="21"/>
                <w:szCs w:val="21"/>
                <w:u w:color="000000"/>
                <w:lang w:val="en-US" w:eastAsia="zh-CN" w:bidi="ar-SA"/>
              </w:rPr>
              <w:t>mg/L</w:t>
            </w:r>
          </w:p>
        </w:tc>
        <w:tc>
          <w:tcPr>
            <w:tcW w:w="732"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0.0024</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0.0020</w:t>
            </w:r>
          </w:p>
        </w:tc>
        <w:tc>
          <w:tcPr>
            <w:tcW w:w="744"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0.0037</w:t>
            </w:r>
          </w:p>
        </w:tc>
        <w:tc>
          <w:tcPr>
            <w:tcW w:w="70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0.0052</w:t>
            </w:r>
          </w:p>
        </w:tc>
        <w:tc>
          <w:tcPr>
            <w:tcW w:w="747" w:type="pct"/>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000000"/>
                <w:kern w:val="2"/>
                <w:sz w:val="21"/>
                <w:szCs w:val="21"/>
                <w:lang w:val="en-US" w:eastAsia="zh-CN" w:bidi="ar-SA"/>
              </w:rPr>
            </w:pPr>
            <w:r>
              <w:rPr>
                <w:rFonts w:hint="eastAsia" w:ascii="Times New Roman" w:hAnsi="Times New Roman" w:cs="Times New Roman"/>
                <w:color w:val="000000"/>
                <w:sz w:val="21"/>
                <w:szCs w:val="21"/>
                <w:lang w:val="en-US" w:eastAsia="zh-CN"/>
              </w:rPr>
              <w:t>0.0024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7"/>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eastAsia="zh-CN"/>
              </w:rPr>
              <w:t>备注：</w:t>
            </w:r>
            <w:r>
              <w:rPr>
                <w:rFonts w:hint="eastAsia" w:ascii="Times New Roman" w:hAnsi="Times New Roman" w:cs="Times New Roman"/>
                <w:color w:val="000000"/>
                <w:sz w:val="21"/>
                <w:szCs w:val="21"/>
                <w:lang w:val="en-US" w:eastAsia="zh-CN"/>
              </w:rPr>
              <w:t>1、检测结果执行《地下水质量标准》（GB14848-2017）中</w:t>
            </w:r>
            <w:r>
              <w:rPr>
                <w:rFonts w:hint="eastAsia" w:ascii="宋体" w:hAnsi="宋体" w:eastAsia="宋体" w:cs="宋体"/>
                <w:color w:val="000000"/>
                <w:sz w:val="21"/>
                <w:szCs w:val="21"/>
                <w:lang w:val="en-US" w:eastAsia="zh-CN"/>
              </w:rPr>
              <w:t>Ⅲ</w:t>
            </w:r>
            <w:r>
              <w:rPr>
                <w:rFonts w:hint="eastAsia" w:ascii="Times New Roman" w:hAnsi="Times New Roman" w:cs="Times New Roman"/>
                <w:color w:val="000000"/>
                <w:sz w:val="21"/>
                <w:szCs w:val="21"/>
                <w:lang w:val="en-US" w:eastAsia="zh-CN"/>
              </w:rPr>
              <w:t>类标准；</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2、</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ND</w:t>
            </w:r>
            <w:r>
              <w:rPr>
                <w:rFonts w:hint="eastAsia" w:ascii="宋体" w:hAnsi="宋体" w:eastAsia="宋体" w:cs="宋体"/>
                <w:color w:val="000000"/>
                <w:sz w:val="21"/>
                <w:szCs w:val="21"/>
              </w:rPr>
              <w:t>”</w:t>
            </w:r>
            <w:r>
              <w:rPr>
                <w:rFonts w:hint="default" w:ascii="Times New Roman" w:hAnsi="Times New Roman" w:eastAsia="宋体" w:cs="Times New Roman"/>
                <w:color w:val="000000"/>
                <w:sz w:val="21"/>
                <w:szCs w:val="21"/>
              </w:rPr>
              <w:t>表明未检出或低于方法检出限</w:t>
            </w:r>
            <w:r>
              <w:rPr>
                <w:rFonts w:hint="eastAsia" w:ascii="Times New Roman" w:hAnsi="Times New Roman" w:cs="Times New Roman"/>
                <w:color w:val="000000"/>
                <w:sz w:val="21"/>
                <w:szCs w:val="21"/>
                <w:lang w:eastAsia="zh-CN"/>
              </w:rPr>
              <w:t>。</w:t>
            </w:r>
          </w:p>
        </w:tc>
      </w:tr>
    </w:tbl>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4.2地下水环境质量状况总结</w:t>
      </w:r>
    </w:p>
    <w:p>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eastAsia="仿宋" w:cs="Times New Roman"/>
          <w:b w:val="0"/>
          <w:bCs w:val="0"/>
          <w:sz w:val="24"/>
          <w:szCs w:val="24"/>
          <w:lang w:val="en-US" w:eastAsia="zh-CN"/>
        </w:rPr>
      </w:pPr>
      <w:bookmarkStart w:id="3" w:name="_Toc18118"/>
      <w:bookmarkEnd w:id="3"/>
      <w:r>
        <w:rPr>
          <w:rFonts w:hint="eastAsia" w:ascii="Times New Roman" w:hAnsi="Times New Roman" w:eastAsia="仿宋" w:cs="Times New Roman"/>
          <w:b w:val="0"/>
          <w:bCs w:val="0"/>
          <w:sz w:val="24"/>
          <w:szCs w:val="24"/>
          <w:lang w:val="en-US" w:eastAsia="zh-CN"/>
        </w:rPr>
        <w:t>202</w:t>
      </w:r>
      <w:r>
        <w:rPr>
          <w:rFonts w:hint="eastAsia" w:eastAsia="仿宋" w:cs="Times New Roman"/>
          <w:b w:val="0"/>
          <w:bCs w:val="0"/>
          <w:sz w:val="24"/>
          <w:szCs w:val="24"/>
          <w:lang w:val="en-US" w:eastAsia="zh-CN"/>
        </w:rPr>
        <w:t>5</w:t>
      </w:r>
      <w:r>
        <w:rPr>
          <w:rFonts w:hint="eastAsia" w:ascii="Times New Roman" w:hAnsi="Times New Roman" w:eastAsia="仿宋" w:cs="Times New Roman"/>
          <w:b w:val="0"/>
          <w:bCs w:val="0"/>
          <w:sz w:val="24"/>
          <w:szCs w:val="24"/>
          <w:lang w:val="en-US" w:eastAsia="zh-CN"/>
        </w:rPr>
        <w:t>年度监测期间，开发区各地下水监测点位色度、水位、pH值、总硬度、硫酸盐、氟化物、铜、锌、苯酚、高锰酸盐指数、硝酸盐、亚硝酸盐、氨氮、汞、</w:t>
      </w:r>
      <w:r>
        <w:rPr>
          <w:rFonts w:hint="eastAsia" w:ascii="Times New Roman" w:hAnsi="Times New Roman" w:eastAsia="仿宋" w:cs="Times New Roman"/>
          <w:b w:val="0"/>
          <w:bCs w:val="0"/>
          <w:color w:val="auto"/>
          <w:sz w:val="24"/>
          <w:szCs w:val="24"/>
          <w:lang w:val="en-US" w:eastAsia="zh-CN"/>
        </w:rPr>
        <w:t>砷、镉</w:t>
      </w:r>
      <w:r>
        <w:rPr>
          <w:rFonts w:hint="eastAsia" w:ascii="Times New Roman" w:hAnsi="Times New Roman" w:eastAsia="仿宋" w:cs="Times New Roman"/>
          <w:b w:val="0"/>
          <w:bCs w:val="0"/>
          <w:sz w:val="24"/>
          <w:szCs w:val="24"/>
          <w:lang w:val="en-US" w:eastAsia="zh-CN"/>
        </w:rPr>
        <w:t>、六价铬、铅、总大肠菌群数、细菌总数均能满足《地下水质量标准》（GB/T14848-2017）</w:t>
      </w:r>
      <w:r>
        <w:rPr>
          <w:rFonts w:hint="eastAsia" w:eastAsia="仿宋" w:cs="Times New Roman"/>
          <w:b w:val="0"/>
          <w:bCs w:val="0"/>
          <w:sz w:val="24"/>
          <w:szCs w:val="24"/>
          <w:lang w:val="en-US" w:eastAsia="zh-CN"/>
        </w:rPr>
        <w:t>中</w:t>
      </w:r>
      <w:r>
        <w:rPr>
          <w:rFonts w:hint="eastAsia" w:ascii="Times New Roman" w:hAnsi="Times New Roman" w:eastAsia="仿宋" w:cs="Times New Roman"/>
          <w:b w:val="0"/>
          <w:bCs w:val="0"/>
          <w:sz w:val="24"/>
          <w:szCs w:val="24"/>
          <w:lang w:val="en-US" w:eastAsia="zh-CN"/>
        </w:rPr>
        <w:t>“Ⅲ类”标准要求。</w:t>
      </w: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5、土壤环境质量状况</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bookmarkStart w:id="4" w:name="_Toc22680"/>
      <w:bookmarkEnd w:id="4"/>
      <w:bookmarkStart w:id="5" w:name="_Toc5586"/>
      <w:bookmarkEnd w:id="5"/>
      <w:r>
        <w:rPr>
          <w:rFonts w:hint="eastAsia" w:asciiTheme="majorEastAsia" w:hAnsiTheme="majorEastAsia" w:eastAsiaTheme="majorEastAsia" w:cstheme="majorEastAsia"/>
          <w:sz w:val="24"/>
          <w:szCs w:val="24"/>
          <w:lang w:val="en-US" w:eastAsia="zh-CN"/>
        </w:rPr>
        <w:t>5.1监测数据统计及分析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val="0"/>
          <w:bCs w:val="0"/>
          <w:sz w:val="24"/>
          <w:szCs w:val="24"/>
          <w:lang w:val="en-US" w:eastAsia="zh-CN"/>
        </w:rPr>
        <w:t>2025年度进行了一次土壤监测，土壤监测数据统计见表5-1。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表5-1 土壤监测数据统计一览表</w:t>
      </w:r>
    </w:p>
    <w:tbl>
      <w:tblPr>
        <w:tblStyle w:val="10"/>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1437"/>
        <w:gridCol w:w="2238"/>
        <w:gridCol w:w="225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vMerge w:val="restar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检测项目</w:t>
            </w:r>
          </w:p>
        </w:tc>
        <w:tc>
          <w:tcPr>
            <w:tcW w:w="843" w:type="pct"/>
            <w:vMerge w:val="restar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单位</w:t>
            </w:r>
          </w:p>
        </w:tc>
        <w:tc>
          <w:tcPr>
            <w:tcW w:w="2638" w:type="pct"/>
            <w:gridSpan w:val="2"/>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检测结果</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vMerge w:val="continue"/>
            <w:tcBorders>
              <w:tl2br w:val="nil"/>
              <w:tr2bl w:val="nil"/>
            </w:tcBorders>
            <w:vAlign w:val="center"/>
          </w:tcPr>
          <w:p>
            <w:pPr>
              <w:pStyle w:val="15"/>
              <w:widowControl w:val="0"/>
              <w:spacing w:line="240" w:lineRule="auto"/>
              <w:ind w:left="0" w:leftChars="0" w:firstLine="0" w:firstLineChars="0"/>
              <w:jc w:val="center"/>
              <w:textAlignment w:val="bottom"/>
            </w:pPr>
          </w:p>
        </w:tc>
        <w:tc>
          <w:tcPr>
            <w:tcW w:w="843" w:type="pct"/>
            <w:vMerge w:val="continue"/>
            <w:tcBorders>
              <w:tl2br w:val="nil"/>
              <w:tr2bl w:val="nil"/>
            </w:tcBorders>
            <w:vAlign w:val="center"/>
          </w:tcPr>
          <w:p>
            <w:pPr>
              <w:pStyle w:val="15"/>
              <w:widowControl w:val="0"/>
              <w:spacing w:line="240" w:lineRule="auto"/>
              <w:ind w:left="0" w:leftChars="0" w:firstLine="0" w:firstLineChars="0"/>
              <w:jc w:val="center"/>
              <w:textAlignment w:val="bottom"/>
            </w:pP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b/>
                <w:bCs/>
                <w:color w:val="auto"/>
                <w:sz w:val="21"/>
                <w:szCs w:val="21"/>
                <w:vertAlign w:val="baseline"/>
                <w:lang w:val="en-US" w:eastAsia="zh-CN"/>
              </w:rPr>
            </w:pPr>
            <w:r>
              <w:rPr>
                <w:rFonts w:hint="eastAsia" w:ascii="宋体" w:hAnsi="宋体" w:eastAsia="宋体" w:cs="宋体"/>
                <w:color w:val="000000"/>
                <w:sz w:val="21"/>
                <w:szCs w:val="21"/>
                <w:lang w:val="en-US" w:eastAsia="zh-CN"/>
              </w:rPr>
              <w:t>■</w:t>
            </w:r>
            <w:r>
              <w:rPr>
                <w:rFonts w:hint="eastAsia" w:ascii="Times New Roman" w:hAnsi="Times New Roman" w:cs="Times New Roman"/>
                <w:b/>
                <w:bCs/>
                <w:color w:val="auto"/>
                <w:sz w:val="21"/>
                <w:szCs w:val="21"/>
                <w:vertAlign w:val="baseline"/>
                <w:lang w:val="en-US" w:eastAsia="zh-CN"/>
              </w:rPr>
              <w:t>1#</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b/>
                <w:bCs/>
                <w:color w:val="auto"/>
                <w:sz w:val="21"/>
                <w:szCs w:val="21"/>
                <w:vertAlign w:val="baseline"/>
                <w:lang w:val="en-US" w:eastAsia="zh-CN"/>
              </w:rPr>
            </w:pPr>
            <w:r>
              <w:rPr>
                <w:rFonts w:hint="eastAsia" w:ascii="宋体" w:hAnsi="宋体" w:eastAsia="宋体" w:cs="宋体"/>
                <w:color w:val="000000"/>
                <w:sz w:val="21"/>
                <w:szCs w:val="21"/>
                <w:lang w:val="en-US" w:eastAsia="zh-CN"/>
              </w:rPr>
              <w:t>■</w:t>
            </w:r>
            <w:r>
              <w:rPr>
                <w:rFonts w:hint="eastAsia" w:ascii="Times New Roman" w:hAnsi="Times New Roman" w:cs="Times New Roman"/>
                <w:b/>
                <w:bCs/>
                <w:color w:val="auto"/>
                <w:sz w:val="21"/>
                <w:szCs w:val="21"/>
                <w:vertAlign w:val="baseline"/>
                <w:lang w:val="en-US" w:eastAsia="zh-CN"/>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7.52</w:t>
            </w:r>
          </w:p>
        </w:tc>
        <w:tc>
          <w:tcPr>
            <w:tcW w:w="1324"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镉</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0.36</w:t>
            </w:r>
          </w:p>
        </w:tc>
        <w:tc>
          <w:tcPr>
            <w:tcW w:w="1324"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0.29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铬（六价）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ND</w:t>
            </w:r>
          </w:p>
        </w:tc>
        <w:tc>
          <w:tcPr>
            <w:tcW w:w="1324"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铜</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12</w:t>
            </w:r>
          </w:p>
        </w:tc>
        <w:tc>
          <w:tcPr>
            <w:tcW w:w="1324"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铅</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6.3</w:t>
            </w:r>
          </w:p>
        </w:tc>
        <w:tc>
          <w:tcPr>
            <w:tcW w:w="1324"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16.4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汞</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0.107</w:t>
            </w:r>
          </w:p>
        </w:tc>
        <w:tc>
          <w:tcPr>
            <w:tcW w:w="1324" w:type="pct"/>
            <w:tcBorders>
              <w:tl2br w:val="nil"/>
              <w:tr2bl w:val="nil"/>
            </w:tcBorders>
            <w:shd w:val="clear" w:color="auto" w:fill="auto"/>
            <w:vAlign w:val="center"/>
          </w:tcPr>
          <w:p>
            <w:pPr>
              <w:widowControl w:val="0"/>
              <w:spacing w:line="240" w:lineRule="auto"/>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0.194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镍</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30</w:t>
            </w:r>
          </w:p>
        </w:tc>
        <w:tc>
          <w:tcPr>
            <w:tcW w:w="1324" w:type="pct"/>
            <w:tcBorders>
              <w:tl2br w:val="nil"/>
              <w:tr2bl w:val="nil"/>
            </w:tcBorders>
            <w:shd w:val="clear" w:color="auto" w:fill="auto"/>
            <w:vAlign w:val="center"/>
          </w:tcPr>
          <w:p>
            <w:pPr>
              <w:widowControl w:val="0"/>
              <w:spacing w:line="240" w:lineRule="auto"/>
              <w:jc w:val="center"/>
              <w:textAlignment w:val="bottom"/>
              <w:rPr>
                <w:rFonts w:hint="default" w:ascii="Times New Roman" w:hAnsi="Times New Roman" w:cs="Times New Roman" w:eastAsiaTheme="minorEastAsia"/>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四氯化碳</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氯仿</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氯甲烷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1,1-</w:t>
            </w:r>
            <w:r>
              <w:rPr>
                <w:rFonts w:hint="eastAsia" w:ascii="Times New Roman" w:hAnsi="Times New Roman" w:eastAsia="宋体" w:cs="Times New Roman"/>
                <w:b w:val="0"/>
                <w:bCs w:val="0"/>
                <w:color w:val="auto"/>
                <w:sz w:val="21"/>
                <w:szCs w:val="21"/>
                <w:lang w:val="en-US" w:eastAsia="zh-CN"/>
              </w:rPr>
              <w:t>二氯乙烷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1,2-</w:t>
            </w:r>
            <w:r>
              <w:rPr>
                <w:rFonts w:hint="eastAsia" w:ascii="Times New Roman" w:hAnsi="Times New Roman" w:eastAsia="宋体" w:cs="Times New Roman"/>
                <w:b w:val="0"/>
                <w:bCs w:val="0"/>
                <w:color w:val="auto"/>
                <w:sz w:val="21"/>
                <w:szCs w:val="21"/>
                <w:lang w:val="en-US" w:eastAsia="zh-CN"/>
              </w:rPr>
              <w:t>二氯乙烷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1,1-</w:t>
            </w:r>
            <w:r>
              <w:rPr>
                <w:rFonts w:hint="eastAsia" w:ascii="Times New Roman" w:hAnsi="Times New Roman" w:eastAsia="宋体" w:cs="Times New Roman"/>
                <w:b w:val="0"/>
                <w:bCs w:val="0"/>
                <w:color w:val="auto"/>
                <w:sz w:val="21"/>
                <w:szCs w:val="21"/>
                <w:lang w:val="en-US" w:eastAsia="zh-CN"/>
              </w:rPr>
              <w:t>二氯乙烯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顺</w:t>
            </w:r>
            <w:r>
              <w:rPr>
                <w:rFonts w:hint="default" w:ascii="Times New Roman" w:hAnsi="Times New Roman" w:eastAsia="宋体" w:cs="Times New Roman"/>
                <w:b w:val="0"/>
                <w:bCs w:val="0"/>
                <w:color w:val="auto"/>
                <w:sz w:val="21"/>
                <w:szCs w:val="21"/>
                <w:lang w:val="en-US" w:eastAsia="zh-CN"/>
              </w:rPr>
              <w:t>-1,2-</w:t>
            </w:r>
            <w:r>
              <w:rPr>
                <w:rFonts w:hint="eastAsia" w:ascii="Times New Roman" w:hAnsi="Times New Roman" w:eastAsia="宋体" w:cs="Times New Roman"/>
                <w:b w:val="0"/>
                <w:bCs w:val="0"/>
                <w:color w:val="auto"/>
                <w:sz w:val="21"/>
                <w:szCs w:val="21"/>
                <w:lang w:val="en-US" w:eastAsia="zh-CN"/>
              </w:rPr>
              <w:t>二氯乙烯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反</w:t>
            </w:r>
            <w:r>
              <w:rPr>
                <w:rFonts w:hint="default" w:ascii="Times New Roman" w:hAnsi="Times New Roman" w:eastAsia="宋体" w:cs="Times New Roman"/>
                <w:b w:val="0"/>
                <w:bCs w:val="0"/>
                <w:color w:val="auto"/>
                <w:sz w:val="21"/>
                <w:szCs w:val="21"/>
                <w:lang w:val="en-US" w:eastAsia="zh-CN"/>
              </w:rPr>
              <w:t>-1,2-</w:t>
            </w:r>
            <w:r>
              <w:rPr>
                <w:rFonts w:hint="eastAsia" w:ascii="Times New Roman" w:hAnsi="Times New Roman" w:eastAsia="宋体" w:cs="Times New Roman"/>
                <w:b w:val="0"/>
                <w:bCs w:val="0"/>
                <w:color w:val="auto"/>
                <w:sz w:val="21"/>
                <w:szCs w:val="21"/>
                <w:lang w:val="en-US" w:eastAsia="zh-CN"/>
              </w:rPr>
              <w:t>二氯乙烯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二氯甲烷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1,2-</w:t>
            </w:r>
            <w:r>
              <w:rPr>
                <w:rFonts w:hint="eastAsia" w:ascii="Times New Roman" w:hAnsi="Times New Roman" w:eastAsia="宋体" w:cs="Times New Roman"/>
                <w:b w:val="0"/>
                <w:bCs w:val="0"/>
                <w:color w:val="auto"/>
                <w:sz w:val="21"/>
                <w:szCs w:val="21"/>
                <w:lang w:val="en-US" w:eastAsia="zh-CN"/>
              </w:rPr>
              <w:t>二氯丙烷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1,1,1,2-</w:t>
            </w:r>
            <w:r>
              <w:rPr>
                <w:rFonts w:hint="eastAsia" w:ascii="Times New Roman" w:hAnsi="Times New Roman" w:eastAsia="宋体" w:cs="Times New Roman"/>
                <w:b w:val="0"/>
                <w:bCs w:val="0"/>
                <w:color w:val="auto"/>
                <w:sz w:val="21"/>
                <w:szCs w:val="21"/>
                <w:lang w:val="en-US" w:eastAsia="zh-CN"/>
              </w:rPr>
              <w:t>四氯乙烷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1,1,2,2-</w:t>
            </w:r>
            <w:r>
              <w:rPr>
                <w:rFonts w:hint="eastAsia" w:ascii="Times New Roman" w:hAnsi="Times New Roman" w:eastAsia="宋体" w:cs="Times New Roman"/>
                <w:b w:val="0"/>
                <w:bCs w:val="0"/>
                <w:color w:val="auto"/>
                <w:sz w:val="21"/>
                <w:szCs w:val="21"/>
                <w:lang w:val="en-US" w:eastAsia="zh-CN"/>
              </w:rPr>
              <w:t>四氯乙烷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四氯乙烯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1,1,1-</w:t>
            </w:r>
            <w:r>
              <w:rPr>
                <w:rFonts w:hint="eastAsia" w:ascii="Times New Roman" w:hAnsi="Times New Roman" w:eastAsia="宋体" w:cs="Times New Roman"/>
                <w:b w:val="0"/>
                <w:bCs w:val="0"/>
                <w:color w:val="auto"/>
                <w:sz w:val="21"/>
                <w:szCs w:val="21"/>
                <w:lang w:val="en-US" w:eastAsia="zh-CN"/>
              </w:rPr>
              <w:t>三氯乙烷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1,1,2-</w:t>
            </w:r>
            <w:r>
              <w:rPr>
                <w:rFonts w:hint="eastAsia" w:ascii="Times New Roman" w:hAnsi="Times New Roman" w:eastAsia="宋体" w:cs="Times New Roman"/>
                <w:b w:val="0"/>
                <w:bCs w:val="0"/>
                <w:color w:val="auto"/>
                <w:sz w:val="21"/>
                <w:szCs w:val="21"/>
                <w:lang w:val="en-US" w:eastAsia="zh-CN"/>
              </w:rPr>
              <w:t>三氯乙烷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三氯乙烯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1,2,3-</w:t>
            </w:r>
            <w:r>
              <w:rPr>
                <w:rFonts w:hint="eastAsia" w:ascii="Times New Roman" w:hAnsi="Times New Roman" w:eastAsia="宋体" w:cs="Times New Roman"/>
                <w:b w:val="0"/>
                <w:bCs w:val="0"/>
                <w:color w:val="auto"/>
                <w:sz w:val="21"/>
                <w:szCs w:val="21"/>
                <w:lang w:val="en-US" w:eastAsia="zh-CN"/>
              </w:rPr>
              <w:t>三氯丙烷</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氯乙烯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氯苯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1,2-</w:t>
            </w:r>
            <w:r>
              <w:rPr>
                <w:rFonts w:hint="eastAsia" w:ascii="Times New Roman" w:hAnsi="Times New Roman" w:eastAsia="宋体" w:cs="Times New Roman"/>
                <w:b w:val="0"/>
                <w:bCs w:val="0"/>
                <w:color w:val="auto"/>
                <w:sz w:val="21"/>
                <w:szCs w:val="21"/>
                <w:lang w:val="en-US" w:eastAsia="zh-CN"/>
              </w:rPr>
              <w:t>二氯苯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1,4-</w:t>
            </w:r>
            <w:r>
              <w:rPr>
                <w:rFonts w:hint="eastAsia" w:ascii="Times New Roman" w:hAnsi="Times New Roman" w:eastAsia="宋体" w:cs="Times New Roman"/>
                <w:b w:val="0"/>
                <w:bCs w:val="0"/>
                <w:color w:val="auto"/>
                <w:sz w:val="21"/>
                <w:szCs w:val="21"/>
                <w:lang w:val="en-US" w:eastAsia="zh-CN"/>
              </w:rPr>
              <w:t>二氯苯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乙苯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苯乙烯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甲苯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间二甲苯</w:t>
            </w:r>
            <w:r>
              <w:rPr>
                <w:rFonts w:hint="default" w:ascii="Times New Roman" w:hAnsi="Times New Roman" w:eastAsia="宋体" w:cs="Times New Roman"/>
                <w:b w:val="0"/>
                <w:bCs w:val="0"/>
                <w:color w:val="auto"/>
                <w:sz w:val="21"/>
                <w:szCs w:val="21"/>
                <w:lang w:val="en-US" w:eastAsia="zh-CN"/>
              </w:rPr>
              <w:t>+</w:t>
            </w:r>
            <w:r>
              <w:rPr>
                <w:rFonts w:hint="eastAsia" w:ascii="Times New Roman" w:hAnsi="Times New Roman" w:eastAsia="宋体" w:cs="Times New Roman"/>
                <w:b w:val="0"/>
                <w:bCs w:val="0"/>
                <w:color w:val="auto"/>
                <w:sz w:val="21"/>
                <w:szCs w:val="21"/>
                <w:lang w:val="en-US" w:eastAsia="zh-CN"/>
              </w:rPr>
              <w:t>对二甲苯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邻二甲苯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硝基苯</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苯胺</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default" w:ascii="Times New Roman" w:hAnsi="Times New Roman" w:eastAsia="宋体" w:cs="Times New Roman"/>
                <w:b w:val="0"/>
                <w:bCs w:val="0"/>
                <w:color w:val="auto"/>
                <w:sz w:val="21"/>
                <w:szCs w:val="21"/>
                <w:lang w:val="en-US" w:eastAsia="zh-CN"/>
              </w:rPr>
              <w:t>2-</w:t>
            </w:r>
            <w:r>
              <w:rPr>
                <w:rFonts w:hint="eastAsia" w:ascii="Times New Roman" w:hAnsi="Times New Roman" w:eastAsia="宋体" w:cs="Times New Roman"/>
                <w:b w:val="0"/>
                <w:bCs w:val="0"/>
                <w:color w:val="auto"/>
                <w:sz w:val="21"/>
                <w:szCs w:val="21"/>
                <w:lang w:val="en-US" w:eastAsia="zh-CN"/>
              </w:rPr>
              <w:t>氯酚</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苯并</w:t>
            </w:r>
            <w:r>
              <w:rPr>
                <w:rFonts w:hint="default" w:ascii="Times New Roman" w:hAnsi="Times New Roman" w:eastAsia="宋体" w:cs="Times New Roman"/>
                <w:b w:val="0"/>
                <w:bCs w:val="0"/>
                <w:color w:val="auto"/>
                <w:sz w:val="21"/>
                <w:szCs w:val="21"/>
                <w:lang w:val="en-US" w:eastAsia="zh-CN"/>
              </w:rPr>
              <w:t>[a]</w:t>
            </w:r>
            <w:r>
              <w:rPr>
                <w:rFonts w:hint="eastAsia" w:ascii="Times New Roman" w:hAnsi="Times New Roman" w:eastAsia="宋体" w:cs="Times New Roman"/>
                <w:b w:val="0"/>
                <w:bCs w:val="0"/>
                <w:color w:val="auto"/>
                <w:sz w:val="21"/>
                <w:szCs w:val="21"/>
                <w:lang w:val="en-US" w:eastAsia="zh-CN"/>
              </w:rPr>
              <w:t>蒽</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苯并</w:t>
            </w:r>
            <w:r>
              <w:rPr>
                <w:rFonts w:hint="default" w:ascii="Times New Roman" w:hAnsi="Times New Roman" w:eastAsia="宋体" w:cs="Times New Roman"/>
                <w:b w:val="0"/>
                <w:bCs w:val="0"/>
                <w:color w:val="auto"/>
                <w:sz w:val="21"/>
                <w:szCs w:val="21"/>
                <w:lang w:val="en-US" w:eastAsia="zh-CN"/>
              </w:rPr>
              <w:t>[a]</w:t>
            </w:r>
            <w:r>
              <w:rPr>
                <w:rFonts w:hint="eastAsia" w:ascii="Times New Roman" w:hAnsi="Times New Roman" w:eastAsia="宋体" w:cs="Times New Roman"/>
                <w:b w:val="0"/>
                <w:bCs w:val="0"/>
                <w:color w:val="auto"/>
                <w:sz w:val="21"/>
                <w:szCs w:val="21"/>
                <w:lang w:val="en-US" w:eastAsia="zh-CN"/>
              </w:rPr>
              <w:t>芘</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苯并</w:t>
            </w:r>
            <w:r>
              <w:rPr>
                <w:rFonts w:hint="default" w:ascii="Times New Roman" w:hAnsi="Times New Roman" w:eastAsia="宋体" w:cs="Times New Roman"/>
                <w:b w:val="0"/>
                <w:bCs w:val="0"/>
                <w:color w:val="auto"/>
                <w:sz w:val="21"/>
                <w:szCs w:val="21"/>
                <w:lang w:val="en-US" w:eastAsia="zh-CN"/>
              </w:rPr>
              <w:t>[b]</w:t>
            </w:r>
            <w:r>
              <w:rPr>
                <w:rFonts w:hint="eastAsia" w:ascii="Times New Roman" w:hAnsi="Times New Roman" w:eastAsia="宋体" w:cs="Times New Roman"/>
                <w:b w:val="0"/>
                <w:bCs w:val="0"/>
                <w:color w:val="auto"/>
                <w:sz w:val="21"/>
                <w:szCs w:val="21"/>
                <w:lang w:val="en-US" w:eastAsia="zh-CN"/>
              </w:rPr>
              <w:t>荧蒽</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苯并</w:t>
            </w:r>
            <w:r>
              <w:rPr>
                <w:rFonts w:hint="default" w:ascii="Times New Roman" w:hAnsi="Times New Roman" w:eastAsia="宋体" w:cs="Times New Roman"/>
                <w:b w:val="0"/>
                <w:bCs w:val="0"/>
                <w:color w:val="auto"/>
                <w:sz w:val="21"/>
                <w:szCs w:val="21"/>
                <w:lang w:val="en-US" w:eastAsia="zh-CN"/>
              </w:rPr>
              <w:t>[k]</w:t>
            </w:r>
            <w:r>
              <w:rPr>
                <w:rFonts w:hint="eastAsia" w:ascii="Times New Roman" w:hAnsi="Times New Roman" w:eastAsia="宋体" w:cs="Times New Roman"/>
                <w:b w:val="0"/>
                <w:bCs w:val="0"/>
                <w:color w:val="auto"/>
                <w:sz w:val="21"/>
                <w:szCs w:val="21"/>
                <w:lang w:val="en-US" w:eastAsia="zh-CN"/>
              </w:rPr>
              <w:t>荧蒽</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pStyle w:val="15"/>
              <w:widowControl w:val="0"/>
              <w:spacing w:line="240" w:lineRule="auto"/>
              <w:ind w:left="0" w:leftChars="0" w:firstLine="0" w:firstLineChars="0"/>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䓛</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二苯并</w:t>
            </w:r>
            <w:r>
              <w:rPr>
                <w:rFonts w:hint="default" w:ascii="Times New Roman" w:hAnsi="Times New Roman" w:eastAsia="宋体" w:cs="Times New Roman"/>
                <w:b w:val="0"/>
                <w:bCs w:val="0"/>
                <w:color w:val="auto"/>
                <w:sz w:val="21"/>
                <w:szCs w:val="21"/>
                <w:lang w:val="en-US" w:eastAsia="zh-CN"/>
              </w:rPr>
              <w:t>[a,h]</w:t>
            </w:r>
            <w:r>
              <w:rPr>
                <w:rFonts w:hint="eastAsia" w:ascii="Times New Roman" w:hAnsi="Times New Roman" w:eastAsia="宋体" w:cs="Times New Roman"/>
                <w:b w:val="0"/>
                <w:bCs w:val="0"/>
                <w:color w:val="auto"/>
                <w:sz w:val="21"/>
                <w:szCs w:val="21"/>
                <w:lang w:val="en-US" w:eastAsia="zh-CN"/>
              </w:rPr>
              <w:t>蒽</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茚并</w:t>
            </w:r>
            <w:r>
              <w:rPr>
                <w:rFonts w:hint="default" w:ascii="Times New Roman" w:hAnsi="Times New Roman" w:eastAsia="宋体" w:cs="Times New Roman"/>
                <w:b w:val="0"/>
                <w:bCs w:val="0"/>
                <w:color w:val="auto"/>
                <w:sz w:val="21"/>
                <w:szCs w:val="21"/>
                <w:lang w:val="en-US" w:eastAsia="zh-CN"/>
              </w:rPr>
              <w:t>[1,2,3-cd]</w:t>
            </w:r>
            <w:r>
              <w:rPr>
                <w:rFonts w:hint="eastAsia" w:ascii="Times New Roman" w:hAnsi="Times New Roman" w:eastAsia="宋体" w:cs="Times New Roman"/>
                <w:b w:val="0"/>
                <w:bCs w:val="0"/>
                <w:color w:val="auto"/>
                <w:sz w:val="21"/>
                <w:szCs w:val="21"/>
                <w:lang w:val="en-US" w:eastAsia="zh-CN"/>
              </w:rPr>
              <w:t>芘</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482" w:hRule="atLeast"/>
        </w:trPr>
        <w:tc>
          <w:tcPr>
            <w:tcW w:w="1518" w:type="pct"/>
            <w:tcBorders>
              <w:tl2br w:val="nil"/>
              <w:tr2bl w:val="nil"/>
            </w:tcBorders>
            <w:vAlign w:val="center"/>
          </w:tcPr>
          <w:p>
            <w:pPr>
              <w:widowControl w:val="0"/>
              <w:adjustRightInd w:val="0"/>
              <w:snapToGrid w:val="0"/>
              <w:spacing w:line="240" w:lineRule="exact"/>
              <w:jc w:val="center"/>
              <w:rPr>
                <w:rFonts w:hint="default" w:ascii="Times New Roman" w:hAnsi="Times New Roman" w:eastAsia="宋体" w:cs="Times New Roman"/>
                <w:b w:val="0"/>
                <w:bCs w:val="0"/>
                <w:color w:val="auto"/>
                <w:sz w:val="21"/>
                <w:szCs w:val="21"/>
                <w:u w:color="000000"/>
                <w:lang w:val="en-US" w:eastAsia="zh-CN" w:bidi="ar-SA"/>
              </w:rPr>
            </w:pPr>
            <w:r>
              <w:rPr>
                <w:rFonts w:hint="eastAsia" w:ascii="Times New Roman" w:hAnsi="Times New Roman" w:eastAsia="宋体" w:cs="Times New Roman"/>
                <w:b w:val="0"/>
                <w:bCs w:val="0"/>
                <w:color w:val="auto"/>
                <w:sz w:val="21"/>
                <w:szCs w:val="21"/>
                <w:lang w:val="en-US" w:eastAsia="zh-CN"/>
              </w:rPr>
              <w:t>萘</w:t>
            </w:r>
          </w:p>
        </w:tc>
        <w:tc>
          <w:tcPr>
            <w:tcW w:w="843" w:type="pct"/>
            <w:tcBorders>
              <w:tl2br w:val="nil"/>
              <w:tr2bl w:val="nil"/>
            </w:tcBorders>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lang w:val="en-US" w:eastAsia="zh-CN" w:bidi="ar-SA"/>
              </w:rPr>
              <w:t>mg/kg</w:t>
            </w:r>
          </w:p>
        </w:tc>
        <w:tc>
          <w:tcPr>
            <w:tcW w:w="1313" w:type="pct"/>
            <w:tcBorders>
              <w:tl2br w:val="nil"/>
              <w:tr2bl w:val="nil"/>
            </w:tcBorders>
            <w:vAlign w:val="center"/>
          </w:tcPr>
          <w:p>
            <w:pPr>
              <w:widowControl w:val="0"/>
              <w:spacing w:line="240" w:lineRule="auto"/>
              <w:jc w:val="center"/>
              <w:textAlignment w:val="bottom"/>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000000"/>
                <w:sz w:val="21"/>
                <w:szCs w:val="21"/>
                <w:lang w:eastAsia="zh-CN"/>
              </w:rPr>
              <w:t>ND</w:t>
            </w:r>
          </w:p>
        </w:tc>
        <w:tc>
          <w:tcPr>
            <w:tcW w:w="1324" w:type="pct"/>
            <w:tcBorders>
              <w:tl2br w:val="nil"/>
              <w:tr2bl w:val="nil"/>
            </w:tcBorders>
            <w:vAlign w:val="center"/>
          </w:tcPr>
          <w:p>
            <w:pPr>
              <w:widowControl w:val="0"/>
              <w:spacing w:line="240" w:lineRule="auto"/>
              <w:jc w:val="center"/>
              <w:textAlignment w:val="bottom"/>
              <w:rPr>
                <w:rFonts w:hint="eastAsia" w:ascii="Times New Roman" w:hAnsi="Times New Roman" w:eastAsia="宋体" w:cs="Times New Roman"/>
                <w:b w:val="0"/>
                <w:bCs w:val="0"/>
                <w:color w:val="auto"/>
                <w:sz w:val="21"/>
                <w:szCs w:val="21"/>
                <w:u w:color="000000"/>
                <w:vertAlign w:val="baseline"/>
                <w:lang w:val="en-US" w:eastAsia="zh-CN" w:bidi="ar-SA"/>
              </w:rPr>
            </w:pPr>
            <w:r>
              <w:rPr>
                <w:rFonts w:hint="default" w:ascii="Times New Roman" w:hAnsi="Times New Roman" w:eastAsia="宋体" w:cs="Times New Roman"/>
                <w:b w:val="0"/>
                <w:bCs w:val="0"/>
                <w:color w:val="000000"/>
                <w:sz w:val="21"/>
                <w:szCs w:val="21"/>
                <w:lang w:eastAsia="zh-CN"/>
              </w:rPr>
              <w:t>ND</w:t>
            </w:r>
          </w:p>
        </w:tc>
      </w:tr>
    </w:tbl>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5.2土壤环境质量状况总结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b w:val="0"/>
          <w:bCs w:val="0"/>
          <w:color w:val="000000" w:themeColor="text1"/>
          <w:sz w:val="24"/>
          <w:szCs w:val="24"/>
          <w:lang w:val="en-US" w:eastAsia="zh-CN"/>
          <w14:textFill>
            <w14:solidFill>
              <w14:schemeClr w14:val="tx1"/>
            </w14:solidFill>
          </w14:textFill>
        </w:rPr>
        <w:t>2025年度监测期间，开发区各土壤监测点位砷、镉、铬（六价）、铜、铅、汞、镍、四氯化碳、氯仿、氯甲烷、1, 1-二氯乙烷、1,2-二氯乙烷、 1, 1-二氯乙烯、顺- 1,2-二氯乙烯、 反- 1,2-二氯乙烯、二氯甲烷、1,2-二氯丙烷、1, 1, 1,2- 四氯乙烷、1, 1,2,2- 四氯乙烷、四氯乙烯、1, 1, 1-三氯乙烷、1, 1,2-三氯乙烷、 三氯乙烯、1,2,3-三氯丙烷、氯乙 烯、苯、氯苯、1,2-二氯苯、1,4-  二氯苯、乙苯、苯乙烯、甲苯、间二甲苯+对二甲苯、邻二甲苯、 硝基苯、苯胺、2-氯酚、苯并[a]   蒽、苯并[a]芘、苯并[b]荧蒽、苯 并[k]荧蒽、䓛、二苯并[a,h]蒽、茚并[1,2,3-cd]芘、萘，监测结果均符合《土壤环境质量标准 建设用地土壤污染风险管控标准（试行）》（GB36600-2018）第二类用地筛选值要求。</w:t>
      </w: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imes New Roman" w:hAnsi="Times New Roman" w:cs="Times New Roman"/>
          <w:b/>
          <w:sz w:val="24"/>
          <w:szCs w:val="24"/>
          <w:lang w:val="en-US" w:eastAsia="zh-CN"/>
        </w:rPr>
      </w:pPr>
      <w:r>
        <w:rPr>
          <w:rFonts w:hint="eastAsia" w:ascii="Times New Roman" w:hAnsi="Times New Roman" w:cs="Times New Roman"/>
          <w:b/>
          <w:sz w:val="24"/>
          <w:szCs w:val="24"/>
          <w:lang w:val="en-US" w:eastAsia="zh-CN"/>
        </w:rPr>
        <w:t>6、噪声环境质量状况</w:t>
      </w:r>
    </w:p>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6.1监测数据统计及分析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val="0"/>
          <w:bCs w:val="0"/>
          <w:sz w:val="24"/>
          <w:szCs w:val="24"/>
          <w:lang w:val="en-US" w:eastAsia="zh-CN"/>
        </w:rPr>
        <w:t>2025年度进行了二次噪声监测，噪声监测数据统计见表6-1和6-2。</w:t>
      </w:r>
    </w:p>
    <w:p>
      <w:pPr>
        <w:keepNext w:val="0"/>
        <w:keepLines w:val="0"/>
        <w:pageBreakBefore w:val="0"/>
        <w:widowControl w:val="0"/>
        <w:kinsoku/>
        <w:wordWrap/>
        <w:overflowPunct/>
        <w:topLinePunct w:val="0"/>
        <w:autoSpaceDE/>
        <w:autoSpaceDN/>
        <w:bidi w:val="0"/>
        <w:adjustRightInd/>
        <w:snapToGrid/>
        <w:spacing w:line="360" w:lineRule="auto"/>
        <w:ind w:firstLine="481" w:firstLineChars="200"/>
        <w:jc w:val="center"/>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表6-1 </w:t>
      </w:r>
      <w:r>
        <w:rPr>
          <w:rFonts w:hint="eastAsia" w:eastAsia="仿宋" w:cs="Times New Roman"/>
          <w:b/>
          <w:bCs/>
          <w:sz w:val="24"/>
          <w:szCs w:val="24"/>
          <w:lang w:val="en-US" w:eastAsia="zh-CN"/>
        </w:rPr>
        <w:t>夏季度噪声</w:t>
      </w:r>
      <w:r>
        <w:rPr>
          <w:rFonts w:hint="eastAsia" w:ascii="Times New Roman" w:hAnsi="Times New Roman" w:eastAsia="仿宋" w:cs="Times New Roman"/>
          <w:b/>
          <w:bCs/>
          <w:sz w:val="24"/>
          <w:szCs w:val="24"/>
          <w:lang w:val="en-US" w:eastAsia="zh-CN"/>
        </w:rPr>
        <w:t>监测数据统计一览表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1602"/>
        <w:gridCol w:w="1348"/>
        <w:gridCol w:w="1478"/>
        <w:gridCol w:w="1352"/>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082" w:type="pct"/>
            <w:vMerge w:val="restar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监测点位</w:t>
            </w:r>
          </w:p>
        </w:tc>
        <w:tc>
          <w:tcPr>
            <w:tcW w:w="1731" w:type="pct"/>
            <w:gridSpan w:val="2"/>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昼</w:t>
            </w:r>
            <w:r>
              <w:rPr>
                <w:rFonts w:hint="eastAsia" w:ascii="Times New Roman" w:hAnsi="Times New Roman" w:eastAsia="宋体" w:cs="Times New Roman"/>
                <w:b/>
                <w:bCs/>
                <w:color w:val="auto"/>
                <w:sz w:val="21"/>
                <w:szCs w:val="21"/>
                <w:vertAlign w:val="baseline"/>
                <w:lang w:val="en-US" w:eastAsia="zh-CN"/>
              </w:rPr>
              <w:t>间</w:t>
            </w:r>
            <w:r>
              <w:rPr>
                <w:rFonts w:hint="default" w:ascii="Times New Roman" w:hAnsi="Times New Roman" w:eastAsia="宋体" w:cs="Times New Roman"/>
                <w:b/>
                <w:bCs/>
                <w:color w:val="auto"/>
                <w:sz w:val="21"/>
                <w:szCs w:val="21"/>
                <w:vertAlign w:val="baseline"/>
                <w:lang w:val="en-US" w:eastAsia="zh-CN"/>
              </w:rPr>
              <w:t>（6:00-22:00）</w:t>
            </w:r>
          </w:p>
        </w:tc>
        <w:tc>
          <w:tcPr>
            <w:tcW w:w="1660" w:type="pct"/>
            <w:gridSpan w:val="2"/>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夜间（22:00-6:00）</w:t>
            </w:r>
          </w:p>
        </w:tc>
        <w:tc>
          <w:tcPr>
            <w:tcW w:w="525" w:type="pct"/>
            <w:vMerge w:val="restar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082" w:type="pct"/>
            <w:vMerge w:val="continue"/>
            <w:vAlign w:val="center"/>
          </w:tcPr>
          <w:p>
            <w:pPr>
              <w:pStyle w:val="15"/>
              <w:widowControl w:val="0"/>
              <w:spacing w:line="240" w:lineRule="auto"/>
              <w:jc w:val="center"/>
              <w:textAlignment w:val="bottom"/>
              <w:rPr>
                <w:rFonts w:hint="default" w:ascii="Times New Roman" w:hAnsi="Times New Roman" w:eastAsia="宋体" w:cs="Times New Roman"/>
                <w:b w:val="0"/>
                <w:bCs w:val="0"/>
                <w:color w:val="auto"/>
                <w:sz w:val="21"/>
                <w:szCs w:val="21"/>
                <w:vertAlign w:val="baseline"/>
                <w:lang w:val="en-US" w:eastAsia="zh-CN"/>
              </w:rPr>
            </w:pPr>
          </w:p>
        </w:tc>
        <w:tc>
          <w:tcPr>
            <w:tcW w:w="940"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测量时间</w:t>
            </w:r>
          </w:p>
        </w:tc>
        <w:tc>
          <w:tcPr>
            <w:tcW w:w="791"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测量值</w:t>
            </w:r>
          </w:p>
        </w:tc>
        <w:tc>
          <w:tcPr>
            <w:tcW w:w="867"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测量时间</w:t>
            </w:r>
          </w:p>
        </w:tc>
        <w:tc>
          <w:tcPr>
            <w:tcW w:w="792"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测量值</w:t>
            </w:r>
          </w:p>
        </w:tc>
        <w:tc>
          <w:tcPr>
            <w:tcW w:w="525" w:type="pct"/>
            <w:vMerge w:val="continue"/>
            <w:vAlign w:val="center"/>
          </w:tcPr>
          <w:p>
            <w:pPr>
              <w:pStyle w:val="15"/>
              <w:widowControl w:val="0"/>
              <w:spacing w:line="240" w:lineRule="auto"/>
              <w:jc w:val="center"/>
              <w:textAlignment w:val="bottom"/>
              <w:rPr>
                <w:rFonts w:hint="default" w:ascii="Times New Roman" w:hAnsi="Times New Roman" w:eastAsia="宋体" w:cs="Times New Roman"/>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82" w:type="pct"/>
            <w:vAlign w:val="center"/>
          </w:tcPr>
          <w:p>
            <w:pPr>
              <w:widowControl w:val="0"/>
              <w:spacing w:line="240" w:lineRule="exact"/>
              <w:jc w:val="center"/>
              <w:rPr>
                <w:rFonts w:hint="default" w:ascii="Times New Roman" w:hAnsi="Times New Roman" w:eastAsia="宋体" w:cs="Times New Roman"/>
                <w:b w:val="0"/>
                <w:bCs/>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高速路口</w:t>
            </w:r>
          </w:p>
        </w:tc>
        <w:tc>
          <w:tcPr>
            <w:tcW w:w="94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10:36-10:46</w:t>
            </w:r>
          </w:p>
        </w:tc>
        <w:tc>
          <w:tcPr>
            <w:tcW w:w="791"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67.4</w:t>
            </w:r>
          </w:p>
        </w:tc>
        <w:tc>
          <w:tcPr>
            <w:tcW w:w="867"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00:04-00:14</w:t>
            </w:r>
          </w:p>
        </w:tc>
        <w:tc>
          <w:tcPr>
            <w:tcW w:w="792"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47.6</w:t>
            </w:r>
          </w:p>
        </w:tc>
        <w:tc>
          <w:tcPr>
            <w:tcW w:w="525" w:type="pct"/>
            <w:vMerge w:val="restart"/>
            <w:vAlign w:val="center"/>
          </w:tcPr>
          <w:p>
            <w:pPr>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lang w:val="en-US" w:eastAsia="zh-CN"/>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82" w:type="pct"/>
            <w:vAlign w:val="center"/>
          </w:tcPr>
          <w:p>
            <w:pPr>
              <w:widowControl w:val="0"/>
              <w:spacing w:line="240" w:lineRule="exact"/>
              <w:jc w:val="center"/>
              <w:rPr>
                <w:rFonts w:hint="default" w:ascii="Times New Roman" w:hAnsi="Times New Roman" w:eastAsia="宋体" w:cs="Times New Roman"/>
                <w:b w:val="0"/>
                <w:bCs/>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石垄村</w:t>
            </w:r>
          </w:p>
        </w:tc>
        <w:tc>
          <w:tcPr>
            <w:tcW w:w="94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10:52-11:02</w:t>
            </w:r>
          </w:p>
        </w:tc>
        <w:tc>
          <w:tcPr>
            <w:tcW w:w="791"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57.9</w:t>
            </w:r>
          </w:p>
        </w:tc>
        <w:tc>
          <w:tcPr>
            <w:tcW w:w="867"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00:21-00:31</w:t>
            </w:r>
          </w:p>
        </w:tc>
        <w:tc>
          <w:tcPr>
            <w:tcW w:w="792"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46.6</w:t>
            </w:r>
          </w:p>
        </w:tc>
        <w:tc>
          <w:tcPr>
            <w:tcW w:w="525" w:type="pct"/>
            <w:vMerge w:val="continue"/>
            <w:vAlign w:val="center"/>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82" w:type="pct"/>
            <w:vAlign w:val="center"/>
          </w:tcPr>
          <w:p>
            <w:pPr>
              <w:widowControl w:val="0"/>
              <w:spacing w:line="240" w:lineRule="exact"/>
              <w:jc w:val="center"/>
              <w:rPr>
                <w:rFonts w:hint="default" w:ascii="Times New Roman" w:hAnsi="Times New Roman" w:eastAsia="宋体" w:cs="Times New Roman"/>
                <w:b w:val="0"/>
                <w:bCs/>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中垄</w:t>
            </w:r>
          </w:p>
        </w:tc>
        <w:tc>
          <w:tcPr>
            <w:tcW w:w="94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11:11-11:21</w:t>
            </w:r>
          </w:p>
        </w:tc>
        <w:tc>
          <w:tcPr>
            <w:tcW w:w="791"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59.7</w:t>
            </w:r>
          </w:p>
        </w:tc>
        <w:tc>
          <w:tcPr>
            <w:tcW w:w="867"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00:42-00:52</w:t>
            </w:r>
          </w:p>
        </w:tc>
        <w:tc>
          <w:tcPr>
            <w:tcW w:w="792"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43.7</w:t>
            </w:r>
          </w:p>
        </w:tc>
        <w:tc>
          <w:tcPr>
            <w:tcW w:w="525" w:type="pct"/>
            <w:vMerge w:val="continue"/>
            <w:vAlign w:val="center"/>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82" w:type="pct"/>
            <w:vAlign w:val="center"/>
          </w:tcPr>
          <w:p>
            <w:pPr>
              <w:widowControl w:val="0"/>
              <w:spacing w:line="240" w:lineRule="exact"/>
              <w:jc w:val="center"/>
              <w:rPr>
                <w:rFonts w:hint="default" w:ascii="Times New Roman" w:hAnsi="Times New Roman" w:eastAsia="宋体" w:cs="Times New Roman"/>
                <w:b w:val="0"/>
                <w:bCs/>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桥头村</w:t>
            </w:r>
          </w:p>
        </w:tc>
        <w:tc>
          <w:tcPr>
            <w:tcW w:w="94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11:31-11:41</w:t>
            </w:r>
          </w:p>
        </w:tc>
        <w:tc>
          <w:tcPr>
            <w:tcW w:w="791"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57.8</w:t>
            </w:r>
          </w:p>
        </w:tc>
        <w:tc>
          <w:tcPr>
            <w:tcW w:w="867"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00:56-01:06</w:t>
            </w:r>
          </w:p>
        </w:tc>
        <w:tc>
          <w:tcPr>
            <w:tcW w:w="792"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44.4</w:t>
            </w:r>
          </w:p>
        </w:tc>
        <w:tc>
          <w:tcPr>
            <w:tcW w:w="525" w:type="pct"/>
            <w:vMerge w:val="continue"/>
            <w:vAlign w:val="center"/>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082" w:type="pct"/>
            <w:vAlign w:val="center"/>
          </w:tcPr>
          <w:p>
            <w:pPr>
              <w:widowControl w:val="0"/>
              <w:spacing w:line="240" w:lineRule="exact"/>
              <w:jc w:val="center"/>
              <w:rPr>
                <w:rFonts w:hint="default" w:ascii="Times New Roman" w:hAnsi="Times New Roman" w:eastAsia="宋体" w:cs="Times New Roman"/>
                <w:b w:val="0"/>
                <w:bCs/>
                <w:color w:val="000000"/>
                <w:sz w:val="21"/>
                <w:szCs w:val="21"/>
                <w:u w:color="000000"/>
                <w:lang w:val="en-US" w:eastAsia="zh-CN" w:bidi="ar-SA"/>
              </w:rPr>
            </w:pPr>
            <w:r>
              <w:rPr>
                <w:rFonts w:hint="eastAsia" w:ascii="Times New Roman" w:hAnsi="Times New Roman" w:cs="Times New Roman"/>
                <w:sz w:val="21"/>
                <w:szCs w:val="21"/>
                <w:highlight w:val="none"/>
                <w:lang w:val="en-US" w:eastAsia="zh-CN"/>
              </w:rPr>
              <w:t>张窝</w:t>
            </w:r>
          </w:p>
        </w:tc>
        <w:tc>
          <w:tcPr>
            <w:tcW w:w="94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11:47-11:57</w:t>
            </w:r>
          </w:p>
        </w:tc>
        <w:tc>
          <w:tcPr>
            <w:tcW w:w="791"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54.2</w:t>
            </w:r>
          </w:p>
        </w:tc>
        <w:tc>
          <w:tcPr>
            <w:tcW w:w="867"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01:17-01:27</w:t>
            </w:r>
          </w:p>
        </w:tc>
        <w:tc>
          <w:tcPr>
            <w:tcW w:w="792"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45.7</w:t>
            </w:r>
          </w:p>
        </w:tc>
        <w:tc>
          <w:tcPr>
            <w:tcW w:w="525" w:type="pct"/>
            <w:vMerge w:val="continue"/>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1" w:firstLineChars="200"/>
        <w:jc w:val="center"/>
        <w:textAlignment w:val="auto"/>
        <w:rPr>
          <w:rFonts w:hint="eastAsia" w:ascii="Times New Roman" w:hAnsi="Times New Roman" w:eastAsia="仿宋" w:cs="Times New Roman"/>
          <w:b/>
          <w:bCs/>
          <w:sz w:val="24"/>
          <w:szCs w:val="24"/>
          <w:lang w:val="en-US" w:eastAsia="zh-CN"/>
        </w:rPr>
      </w:pPr>
      <w:r>
        <w:rPr>
          <w:rFonts w:hint="eastAsia" w:ascii="Times New Roman" w:hAnsi="Times New Roman" w:eastAsia="仿宋" w:cs="Times New Roman"/>
          <w:b/>
          <w:bCs/>
          <w:sz w:val="24"/>
          <w:szCs w:val="24"/>
          <w:lang w:val="en-US" w:eastAsia="zh-CN"/>
        </w:rPr>
        <w:t>表6-2 </w:t>
      </w:r>
      <w:r>
        <w:rPr>
          <w:rFonts w:hint="eastAsia" w:eastAsia="仿宋" w:cs="Times New Roman"/>
          <w:b/>
          <w:bCs/>
          <w:sz w:val="24"/>
          <w:szCs w:val="24"/>
          <w:lang w:val="en-US" w:eastAsia="zh-CN"/>
        </w:rPr>
        <w:t>冬季度噪声</w:t>
      </w:r>
      <w:r>
        <w:rPr>
          <w:rFonts w:hint="eastAsia" w:ascii="Times New Roman" w:hAnsi="Times New Roman" w:eastAsia="仿宋" w:cs="Times New Roman"/>
          <w:b/>
          <w:bCs/>
          <w:sz w:val="24"/>
          <w:szCs w:val="24"/>
          <w:lang w:val="en-US" w:eastAsia="zh-CN"/>
        </w:rPr>
        <w:t>监测数据统计一览表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9"/>
        <w:gridCol w:w="1420"/>
        <w:gridCol w:w="1391"/>
        <w:gridCol w:w="1420"/>
        <w:gridCol w:w="1398"/>
        <w:gridCol w:w="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90" w:type="pct"/>
            <w:vMerge w:val="restar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测点位置</w:t>
            </w:r>
          </w:p>
        </w:tc>
        <w:tc>
          <w:tcPr>
            <w:tcW w:w="1649" w:type="pct"/>
            <w:gridSpan w:val="2"/>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昼（6:00-22:00）</w:t>
            </w:r>
          </w:p>
        </w:tc>
        <w:tc>
          <w:tcPr>
            <w:tcW w:w="1653" w:type="pct"/>
            <w:gridSpan w:val="2"/>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夜间（22:00-6:00）</w:t>
            </w:r>
          </w:p>
        </w:tc>
        <w:tc>
          <w:tcPr>
            <w:tcW w:w="505" w:type="pct"/>
            <w:vMerge w:val="restar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90" w:type="pct"/>
            <w:vMerge w:val="continue"/>
            <w:vAlign w:val="center"/>
          </w:tcPr>
          <w:p>
            <w:pPr>
              <w:pStyle w:val="15"/>
              <w:widowControl w:val="0"/>
              <w:spacing w:line="240" w:lineRule="auto"/>
              <w:jc w:val="center"/>
              <w:textAlignment w:val="bottom"/>
              <w:rPr>
                <w:rFonts w:hint="default" w:ascii="Times New Roman" w:hAnsi="Times New Roman" w:eastAsia="宋体" w:cs="Times New Roman"/>
                <w:b w:val="0"/>
                <w:bCs w:val="0"/>
                <w:color w:val="auto"/>
                <w:sz w:val="21"/>
                <w:szCs w:val="21"/>
                <w:vertAlign w:val="baseline"/>
                <w:lang w:val="en-US" w:eastAsia="zh-CN"/>
              </w:rPr>
            </w:pPr>
          </w:p>
        </w:tc>
        <w:tc>
          <w:tcPr>
            <w:tcW w:w="833"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测量时间</w:t>
            </w:r>
          </w:p>
        </w:tc>
        <w:tc>
          <w:tcPr>
            <w:tcW w:w="816"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测量值</w:t>
            </w:r>
          </w:p>
        </w:tc>
        <w:tc>
          <w:tcPr>
            <w:tcW w:w="833"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测量时间</w:t>
            </w:r>
          </w:p>
        </w:tc>
        <w:tc>
          <w:tcPr>
            <w:tcW w:w="820" w:type="pct"/>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测量值</w:t>
            </w:r>
          </w:p>
        </w:tc>
        <w:tc>
          <w:tcPr>
            <w:tcW w:w="505" w:type="pct"/>
            <w:vMerge w:val="continue"/>
            <w:vAlign w:val="center"/>
          </w:tcPr>
          <w:p>
            <w:pPr>
              <w:pStyle w:val="15"/>
              <w:widowControl w:val="0"/>
              <w:spacing w:line="240" w:lineRule="auto"/>
              <w:jc w:val="center"/>
              <w:textAlignment w:val="bottom"/>
              <w:rPr>
                <w:rFonts w:hint="default" w:ascii="Times New Roman" w:hAnsi="Times New Roman" w:eastAsia="宋体" w:cs="Times New Roman"/>
                <w:b w:val="0"/>
                <w:bCs w:val="0"/>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0" w:type="pct"/>
            <w:vAlign w:val="center"/>
          </w:tcPr>
          <w:p>
            <w:pPr>
              <w:widowControl w:val="0"/>
              <w:spacing w:line="240" w:lineRule="exact"/>
              <w:jc w:val="center"/>
              <w:rPr>
                <w:rFonts w:hint="default" w:ascii="Times New Roman" w:hAnsi="Times New Roman" w:eastAsia="宋体" w:cs="Times New Roman"/>
                <w:b w:val="0"/>
                <w:bCs/>
                <w:color w:val="auto"/>
                <w:sz w:val="21"/>
                <w:szCs w:val="21"/>
                <w:u w:color="000000"/>
                <w:lang w:val="en-US" w:eastAsia="zh-CN" w:bidi="ar-SA"/>
              </w:rPr>
            </w:pPr>
            <w:r>
              <w:rPr>
                <w:rFonts w:hint="eastAsia" w:ascii="Times New Roman" w:hAnsi="Times New Roman" w:cs="Times New Roman"/>
                <w:sz w:val="21"/>
                <w:szCs w:val="21"/>
                <w:highlight w:val="none"/>
                <w:lang w:val="en-US" w:eastAsia="zh-CN"/>
              </w:rPr>
              <w:t>高速路口</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11:27-11:37</w:t>
            </w:r>
          </w:p>
        </w:tc>
        <w:tc>
          <w:tcPr>
            <w:tcW w:w="816"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59.6</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23:52-00:12</w:t>
            </w:r>
          </w:p>
        </w:tc>
        <w:tc>
          <w:tcPr>
            <w:tcW w:w="82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45.5</w:t>
            </w:r>
          </w:p>
        </w:tc>
        <w:tc>
          <w:tcPr>
            <w:tcW w:w="505" w:type="pct"/>
            <w:vMerge w:val="restart"/>
            <w:vAlign w:val="center"/>
          </w:tcPr>
          <w:p>
            <w:pPr>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lang w:val="en-US" w:eastAsia="zh-CN"/>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90" w:type="pct"/>
            <w:vAlign w:val="center"/>
          </w:tcPr>
          <w:p>
            <w:pPr>
              <w:widowControl w:val="0"/>
              <w:spacing w:line="240" w:lineRule="exact"/>
              <w:jc w:val="center"/>
              <w:rPr>
                <w:rFonts w:hint="default" w:ascii="Times New Roman" w:hAnsi="Times New Roman" w:eastAsia="宋体" w:cs="Times New Roman"/>
                <w:b w:val="0"/>
                <w:bCs/>
                <w:color w:val="auto"/>
                <w:sz w:val="21"/>
                <w:szCs w:val="21"/>
                <w:u w:color="000000"/>
                <w:lang w:val="en-US" w:eastAsia="zh-CN" w:bidi="ar-SA"/>
              </w:rPr>
            </w:pPr>
            <w:r>
              <w:rPr>
                <w:rFonts w:hint="eastAsia" w:ascii="Times New Roman" w:hAnsi="Times New Roman" w:cs="Times New Roman"/>
                <w:sz w:val="21"/>
                <w:szCs w:val="21"/>
                <w:highlight w:val="none"/>
                <w:lang w:val="en-US" w:eastAsia="zh-CN"/>
              </w:rPr>
              <w:t>中垄</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11:52-12:02</w:t>
            </w:r>
          </w:p>
        </w:tc>
        <w:tc>
          <w:tcPr>
            <w:tcW w:w="816"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51.4</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00:29-00:39</w:t>
            </w:r>
          </w:p>
        </w:tc>
        <w:tc>
          <w:tcPr>
            <w:tcW w:w="82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45.7</w:t>
            </w:r>
          </w:p>
        </w:tc>
        <w:tc>
          <w:tcPr>
            <w:tcW w:w="505" w:type="pct"/>
            <w:vMerge w:val="continue"/>
            <w:vAlign w:val="center"/>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0" w:type="pct"/>
            <w:vAlign w:val="center"/>
          </w:tcPr>
          <w:p>
            <w:pPr>
              <w:widowControl w:val="0"/>
              <w:spacing w:line="240" w:lineRule="exact"/>
              <w:jc w:val="center"/>
              <w:rPr>
                <w:rFonts w:hint="default" w:ascii="Times New Roman" w:hAnsi="Times New Roman" w:eastAsia="宋体" w:cs="Times New Roman"/>
                <w:b w:val="0"/>
                <w:bCs/>
                <w:color w:val="auto"/>
                <w:sz w:val="21"/>
                <w:szCs w:val="21"/>
                <w:u w:color="000000"/>
                <w:lang w:val="en-US" w:eastAsia="zh-CN" w:bidi="ar-SA"/>
              </w:rPr>
            </w:pPr>
            <w:r>
              <w:rPr>
                <w:rFonts w:hint="eastAsia" w:ascii="Times New Roman" w:hAnsi="Times New Roman" w:cs="Times New Roman"/>
                <w:sz w:val="21"/>
                <w:szCs w:val="21"/>
                <w:highlight w:val="none"/>
                <w:lang w:val="en-US" w:eastAsia="zh-CN"/>
              </w:rPr>
              <w:t>石垄村</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12:21-12:31</w:t>
            </w:r>
          </w:p>
        </w:tc>
        <w:tc>
          <w:tcPr>
            <w:tcW w:w="816"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58.0</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00:53-01:03</w:t>
            </w:r>
          </w:p>
        </w:tc>
        <w:tc>
          <w:tcPr>
            <w:tcW w:w="82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46.5</w:t>
            </w:r>
          </w:p>
        </w:tc>
        <w:tc>
          <w:tcPr>
            <w:tcW w:w="505" w:type="pct"/>
            <w:vMerge w:val="continue"/>
            <w:vAlign w:val="center"/>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190" w:type="pct"/>
            <w:vAlign w:val="center"/>
          </w:tcPr>
          <w:p>
            <w:pPr>
              <w:widowControl w:val="0"/>
              <w:spacing w:line="240" w:lineRule="exact"/>
              <w:jc w:val="center"/>
              <w:rPr>
                <w:rFonts w:hint="default" w:ascii="Times New Roman" w:hAnsi="Times New Roman" w:eastAsia="宋体" w:cs="Times New Roman"/>
                <w:b w:val="0"/>
                <w:bCs/>
                <w:color w:val="auto"/>
                <w:sz w:val="21"/>
                <w:szCs w:val="21"/>
                <w:u w:color="000000"/>
                <w:lang w:val="en-US" w:eastAsia="zh-CN" w:bidi="ar-SA"/>
              </w:rPr>
            </w:pPr>
            <w:r>
              <w:rPr>
                <w:rFonts w:hint="eastAsia" w:ascii="Times New Roman" w:hAnsi="Times New Roman" w:cs="Times New Roman"/>
                <w:sz w:val="21"/>
                <w:szCs w:val="21"/>
                <w:highlight w:val="none"/>
                <w:lang w:val="en-US" w:eastAsia="zh-CN"/>
              </w:rPr>
              <w:t>桥头村</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12:42-12:52</w:t>
            </w:r>
          </w:p>
        </w:tc>
        <w:tc>
          <w:tcPr>
            <w:tcW w:w="816"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54.0</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01:14-01:24</w:t>
            </w:r>
          </w:p>
        </w:tc>
        <w:tc>
          <w:tcPr>
            <w:tcW w:w="82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45.7</w:t>
            </w:r>
          </w:p>
        </w:tc>
        <w:tc>
          <w:tcPr>
            <w:tcW w:w="505" w:type="pct"/>
            <w:vMerge w:val="continue"/>
            <w:vAlign w:val="center"/>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90" w:type="pct"/>
            <w:vAlign w:val="center"/>
          </w:tcPr>
          <w:p>
            <w:pPr>
              <w:widowControl w:val="0"/>
              <w:spacing w:line="240" w:lineRule="exact"/>
              <w:jc w:val="center"/>
              <w:rPr>
                <w:rFonts w:hint="default" w:ascii="Times New Roman" w:hAnsi="Times New Roman" w:eastAsia="宋体" w:cs="Times New Roman"/>
                <w:b w:val="0"/>
                <w:bCs/>
                <w:color w:val="auto"/>
                <w:sz w:val="21"/>
                <w:szCs w:val="21"/>
                <w:u w:color="000000"/>
                <w:lang w:val="en-US" w:eastAsia="zh-CN" w:bidi="ar-SA"/>
              </w:rPr>
            </w:pPr>
            <w:r>
              <w:rPr>
                <w:rFonts w:hint="eastAsia" w:ascii="Times New Roman" w:hAnsi="Times New Roman" w:cs="Times New Roman"/>
                <w:sz w:val="21"/>
                <w:szCs w:val="21"/>
                <w:highlight w:val="none"/>
                <w:lang w:val="en-US" w:eastAsia="zh-CN"/>
              </w:rPr>
              <w:t>张窝</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12:57-13:07</w:t>
            </w:r>
          </w:p>
        </w:tc>
        <w:tc>
          <w:tcPr>
            <w:tcW w:w="816"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55.0</w:t>
            </w:r>
          </w:p>
        </w:tc>
        <w:tc>
          <w:tcPr>
            <w:tcW w:w="833"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01:31-01:41</w:t>
            </w:r>
          </w:p>
        </w:tc>
        <w:tc>
          <w:tcPr>
            <w:tcW w:w="820" w:type="pct"/>
            <w:shd w:val="clear" w:color="auto" w:fill="auto"/>
            <w:vAlign w:val="center"/>
          </w:tcPr>
          <w:p>
            <w:pPr>
              <w:pStyle w:val="15"/>
              <w:widowControl w:val="0"/>
              <w:spacing w:line="240" w:lineRule="auto"/>
              <w:ind w:left="0" w:leftChars="0" w:firstLine="0" w:firstLineChars="0"/>
              <w:jc w:val="center"/>
              <w:textAlignment w:val="bottom"/>
              <w:rPr>
                <w:rFonts w:hint="default" w:ascii="Times New Roman" w:hAnsi="Times New Roman" w:eastAsia="宋体" w:cs="Times New Roman"/>
                <w:b w:val="0"/>
                <w:bCs w:val="0"/>
                <w:color w:val="auto"/>
                <w:kern w:val="2"/>
                <w:sz w:val="21"/>
                <w:szCs w:val="21"/>
                <w:u w:color="000000"/>
                <w:vertAlign w:val="baseline"/>
                <w:lang w:val="en-US" w:eastAsia="zh-CN" w:bidi="ar-SA"/>
              </w:rPr>
            </w:pPr>
            <w:r>
              <w:rPr>
                <w:rFonts w:hint="eastAsia" w:ascii="Times New Roman" w:hAnsi="Times New Roman" w:cs="Times New Roman"/>
                <w:b w:val="0"/>
                <w:bCs w:val="0"/>
                <w:color w:val="auto"/>
                <w:sz w:val="21"/>
                <w:szCs w:val="21"/>
                <w:u w:color="000000"/>
                <w:vertAlign w:val="baseline"/>
                <w:lang w:val="en-US" w:eastAsia="zh-CN" w:bidi="ar-SA"/>
              </w:rPr>
              <w:t>46.4</w:t>
            </w:r>
          </w:p>
        </w:tc>
        <w:tc>
          <w:tcPr>
            <w:tcW w:w="505" w:type="pct"/>
            <w:vMerge w:val="continue"/>
          </w:tcPr>
          <w:p>
            <w:pPr>
              <w:widowControl w:val="0"/>
              <w:spacing w:line="240" w:lineRule="auto"/>
              <w:jc w:val="center"/>
              <w:textAlignment w:val="bottom"/>
              <w:rPr>
                <w:rFonts w:hint="default" w:ascii="Times New Roman" w:hAnsi="Times New Roman" w:eastAsia="宋体" w:cs="Times New Roman"/>
                <w:b/>
                <w:bCs/>
                <w:color w:val="auto"/>
                <w:sz w:val="21"/>
                <w:szCs w:val="21"/>
                <w:vertAlign w:val="baseline"/>
                <w:lang w:val="en-US" w:eastAsia="zh-CN"/>
              </w:rPr>
            </w:pPr>
          </w:p>
        </w:tc>
      </w:tr>
    </w:tbl>
    <w:p>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6.2噪声环境质量状况总结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color w:val="auto"/>
          <w:sz w:val="24"/>
          <w:szCs w:val="24"/>
          <w:lang w:val="en-US" w:eastAsia="zh-CN"/>
        </w:rPr>
      </w:pPr>
      <w:r>
        <w:rPr>
          <w:rFonts w:hint="eastAsia" w:ascii="Times New Roman" w:hAnsi="Times New Roman" w:eastAsia="仿宋" w:cs="Times New Roman"/>
          <w:b w:val="0"/>
          <w:bCs w:val="0"/>
          <w:color w:val="auto"/>
          <w:sz w:val="24"/>
          <w:szCs w:val="24"/>
          <w:lang w:val="en-US" w:eastAsia="zh-CN"/>
        </w:rPr>
        <w:t>2025年度监测期间，开发区内中垄、桥头村、张窝监测结果满足《声环境质量标准》（GB3096-2008）中2类限值；高速路口、石垄</w:t>
      </w:r>
      <w:r>
        <w:rPr>
          <w:rFonts w:hint="eastAsia"/>
          <w:lang w:val="en-US" w:eastAsia="zh-CN"/>
        </w:rPr>
        <w:t>村</w:t>
      </w:r>
      <w:r>
        <w:rPr>
          <w:rFonts w:hint="eastAsia" w:ascii="Times New Roman" w:hAnsi="Times New Roman" w:eastAsia="仿宋" w:cs="Times New Roman"/>
          <w:b w:val="0"/>
          <w:bCs w:val="0"/>
          <w:color w:val="auto"/>
          <w:sz w:val="24"/>
          <w:szCs w:val="24"/>
          <w:lang w:val="en-US" w:eastAsia="zh-CN"/>
        </w:rPr>
        <w:t>监测结果满足《声环境质量标准》（GB3096-2008）中4a类限值。</w:t>
      </w:r>
    </w:p>
    <w:p>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imes New Roman" w:hAnsi="Times New Roman" w:cs="Times New Roman"/>
          <w:b/>
          <w:color w:val="auto"/>
          <w:sz w:val="24"/>
          <w:szCs w:val="24"/>
          <w:lang w:val="en-US" w:eastAsia="zh-CN"/>
        </w:rPr>
      </w:pPr>
      <w:r>
        <w:rPr>
          <w:rFonts w:hint="eastAsia" w:ascii="Times New Roman" w:hAnsi="Times New Roman" w:cs="Times New Roman"/>
          <w:b/>
          <w:color w:val="auto"/>
          <w:sz w:val="24"/>
          <w:szCs w:val="24"/>
          <w:lang w:val="en-US" w:eastAsia="zh-CN"/>
        </w:rPr>
        <w:t>7、环境质量状况综述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val="0"/>
          <w:bCs w:val="0"/>
          <w:sz w:val="24"/>
          <w:szCs w:val="24"/>
          <w:lang w:val="en-US" w:eastAsia="zh-CN"/>
        </w:rPr>
        <w:t>根据现状监测报告，2025年监测期间开发区各监测点位PM</w:t>
      </w:r>
      <w:r>
        <w:rPr>
          <w:rFonts w:hint="eastAsia" w:ascii="Times New Roman" w:hAnsi="Times New Roman" w:eastAsia="仿宋" w:cs="Times New Roman"/>
          <w:b w:val="0"/>
          <w:bCs w:val="0"/>
          <w:sz w:val="24"/>
          <w:szCs w:val="24"/>
          <w:vertAlign w:val="subscript"/>
          <w:lang w:val="en-US" w:eastAsia="zh-CN"/>
        </w:rPr>
        <w:t>10</w:t>
      </w:r>
      <w:r>
        <w:rPr>
          <w:rFonts w:hint="eastAsia" w:ascii="Times New Roman" w:hAnsi="Times New Roman" w:eastAsia="仿宋" w:cs="Times New Roman"/>
          <w:b w:val="0"/>
          <w:bCs w:val="0"/>
          <w:sz w:val="24"/>
          <w:szCs w:val="24"/>
          <w:lang w:val="en-US" w:eastAsia="zh-CN"/>
        </w:rPr>
        <w:t>、PM</w:t>
      </w:r>
      <w:r>
        <w:rPr>
          <w:rFonts w:hint="eastAsia" w:ascii="Times New Roman" w:hAnsi="Times New Roman" w:eastAsia="仿宋" w:cs="Times New Roman"/>
          <w:b w:val="0"/>
          <w:bCs w:val="0"/>
          <w:sz w:val="24"/>
          <w:szCs w:val="24"/>
          <w:vertAlign w:val="subscript"/>
          <w:lang w:val="en-US" w:eastAsia="zh-CN"/>
        </w:rPr>
        <w:t>2.5</w:t>
      </w:r>
      <w:r>
        <w:rPr>
          <w:rFonts w:hint="eastAsia" w:ascii="Times New Roman" w:hAnsi="Times New Roman" w:eastAsia="仿宋" w:cs="Times New Roman"/>
          <w:b w:val="0"/>
          <w:bCs w:val="0"/>
          <w:sz w:val="24"/>
          <w:szCs w:val="24"/>
          <w:lang w:val="en-US" w:eastAsia="zh-CN"/>
        </w:rPr>
        <w:t>、NO</w:t>
      </w:r>
      <w:r>
        <w:rPr>
          <w:rFonts w:hint="eastAsia" w:ascii="Times New Roman" w:hAnsi="Times New Roman" w:eastAsia="仿宋" w:cs="Times New Roman"/>
          <w:b w:val="0"/>
          <w:bCs w:val="0"/>
          <w:sz w:val="24"/>
          <w:szCs w:val="24"/>
          <w:vertAlign w:val="subscript"/>
          <w:lang w:val="en-US" w:eastAsia="zh-CN"/>
        </w:rPr>
        <w:t>2</w:t>
      </w:r>
      <w:r>
        <w:rPr>
          <w:rFonts w:hint="eastAsia" w:ascii="Times New Roman" w:hAnsi="Times New Roman" w:eastAsia="仿宋" w:cs="Times New Roman"/>
          <w:b w:val="0"/>
          <w:bCs w:val="0"/>
          <w:sz w:val="24"/>
          <w:szCs w:val="24"/>
          <w:lang w:val="en-US" w:eastAsia="zh-CN"/>
        </w:rPr>
        <w:t>、SO</w:t>
      </w:r>
      <w:r>
        <w:rPr>
          <w:rFonts w:hint="eastAsia" w:ascii="Times New Roman" w:hAnsi="Times New Roman" w:eastAsia="仿宋" w:cs="Times New Roman"/>
          <w:b w:val="0"/>
          <w:bCs w:val="0"/>
          <w:sz w:val="24"/>
          <w:szCs w:val="24"/>
          <w:vertAlign w:val="subscript"/>
          <w:lang w:val="en-US" w:eastAsia="zh-CN"/>
        </w:rPr>
        <w:t>2</w:t>
      </w:r>
      <w:r>
        <w:rPr>
          <w:rFonts w:hint="eastAsia" w:ascii="Times New Roman" w:hAnsi="Times New Roman" w:eastAsia="仿宋" w:cs="Times New Roman"/>
          <w:b w:val="0"/>
          <w:bCs w:val="0"/>
          <w:sz w:val="24"/>
          <w:szCs w:val="24"/>
          <w:lang w:val="en-US" w:eastAsia="zh-CN"/>
        </w:rPr>
        <w:t>满足《环境空气质量标准》（GB3095-2012）表1二级标准；TVOC满足《环境影响评价技术导则 大气环境》（HJ2.2-2018）附录D表D.1中浓度限值。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val="0"/>
          <w:bCs w:val="0"/>
          <w:sz w:val="24"/>
          <w:szCs w:val="24"/>
          <w:lang w:val="en-US" w:eastAsia="zh-CN"/>
        </w:rPr>
        <w:t>2025年度监测期间，开发区各地表水监测点位pH值、水温、溶解氧、化学需氧量、五日生化需氧量、氨氮、石油类、总磷、总氮、氰化物、挥发酚、六价铬、锌、铅、铜检出后均能达到《地表水环境质量标准》（GB 3838-2002）表1中的“Ⅲ类”限值要求。</w:t>
      </w:r>
    </w:p>
    <w:p>
      <w:pPr>
        <w:pStyle w:val="14"/>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eastAsia="仿宋" w:cs="Times New Roman"/>
          <w:b w:val="0"/>
          <w:bCs w:val="0"/>
          <w:sz w:val="24"/>
          <w:szCs w:val="24"/>
          <w:lang w:val="en-US" w:eastAsia="zh-CN"/>
        </w:rPr>
      </w:pPr>
      <w:r>
        <w:rPr>
          <w:rFonts w:hint="eastAsia" w:ascii="Times New Roman" w:hAnsi="Times New Roman" w:eastAsia="仿宋" w:cs="Times New Roman"/>
          <w:b w:val="0"/>
          <w:bCs w:val="0"/>
          <w:sz w:val="24"/>
          <w:szCs w:val="24"/>
          <w:lang w:val="en-US" w:eastAsia="zh-CN"/>
        </w:rPr>
        <w:t>202</w:t>
      </w:r>
      <w:r>
        <w:rPr>
          <w:rFonts w:hint="eastAsia" w:eastAsia="仿宋" w:cs="Times New Roman"/>
          <w:b w:val="0"/>
          <w:bCs w:val="0"/>
          <w:sz w:val="24"/>
          <w:szCs w:val="24"/>
          <w:lang w:val="en-US" w:eastAsia="zh-CN"/>
        </w:rPr>
        <w:t>5</w:t>
      </w:r>
      <w:r>
        <w:rPr>
          <w:rFonts w:hint="eastAsia" w:ascii="Times New Roman" w:hAnsi="Times New Roman" w:eastAsia="仿宋" w:cs="Times New Roman"/>
          <w:b w:val="0"/>
          <w:bCs w:val="0"/>
          <w:sz w:val="24"/>
          <w:szCs w:val="24"/>
          <w:lang w:val="en-US" w:eastAsia="zh-CN"/>
        </w:rPr>
        <w:t>年度监测期间，开发区各地下水监测点位色度、水位、pH值、总硬度、硫酸盐、氟化物、铜、锌、苯酚、高锰酸盐指数、硝酸盐、亚硝酸盐、氨氮、汞、</w:t>
      </w:r>
      <w:r>
        <w:rPr>
          <w:rFonts w:hint="eastAsia" w:ascii="Times New Roman" w:hAnsi="Times New Roman" w:eastAsia="仿宋" w:cs="Times New Roman"/>
          <w:b w:val="0"/>
          <w:bCs w:val="0"/>
          <w:color w:val="auto"/>
          <w:sz w:val="24"/>
          <w:szCs w:val="24"/>
          <w:lang w:val="en-US" w:eastAsia="zh-CN"/>
        </w:rPr>
        <w:t>砷、镉</w:t>
      </w:r>
      <w:r>
        <w:rPr>
          <w:rFonts w:hint="eastAsia" w:ascii="Times New Roman" w:hAnsi="Times New Roman" w:eastAsia="仿宋" w:cs="Times New Roman"/>
          <w:b w:val="0"/>
          <w:bCs w:val="0"/>
          <w:sz w:val="24"/>
          <w:szCs w:val="24"/>
          <w:lang w:val="en-US" w:eastAsia="zh-CN"/>
        </w:rPr>
        <w:t>、六价铬、铅、总大肠菌群数、细菌总数均能满足《地下水质量标准》（GB/T14848-2017）“Ⅲ类”标准要求。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eastAsia="仿宋" w:cs="Times New Roman"/>
          <w:b w:val="0"/>
          <w:bCs w:val="0"/>
          <w:color w:val="000000" w:themeColor="text1"/>
          <w:sz w:val="24"/>
          <w:szCs w:val="24"/>
          <w:lang w:val="en-US" w:eastAsia="zh-CN"/>
          <w14:textFill>
            <w14:solidFill>
              <w14:schemeClr w14:val="tx1"/>
            </w14:solidFill>
          </w14:textFill>
        </w:rPr>
        <w:t>2025年度监测期间，开发区各土壤监测点位砷、镉、铬（六价）、铜、铅、汞、镍、四氯化碳、氯仿、氯甲烷、1, 1-二氯乙烷、1,2-二氯乙烷、 1, 1-二氯乙烯、顺- 1,2-二氯乙烯、 反- 1,2-二氯乙烯、二氯甲烷、1,2-二氯丙烷、1, 1, 1,2- 四氯乙烷、1, 1,2,2- 四氯乙烷、四氯乙烯、1, 1, 1-三氯乙烷、1, 1,2-三氯乙烷、 三氯乙烯、1,2,3-三氯丙烷、氯乙 烯、苯、氯苯、1,2-二氯苯、1,4-  二氯苯、乙苯、苯乙烯、甲苯、间二甲苯+对二甲苯、邻二甲苯、 硝基苯、苯胺、2-氯酚、苯并[a]   蒽、苯并[a]芘、苯并[b]荧蒽、苯 并[k]荧蒽、䓛、二苯并[a,h]蒽、茚并[1,2,3-cd]芘、萘，监测结果均符合《土壤环境质量标准建设用地土壤污染风险管控标准（试行）》（GB36600-2018）第二类用地筛选值要求。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 w:cs="Times New Roman"/>
          <w:b w:val="0"/>
          <w:bCs w:val="0"/>
          <w:color w:val="auto"/>
          <w:sz w:val="24"/>
          <w:szCs w:val="24"/>
          <w:lang w:val="en-US" w:eastAsia="zh-CN"/>
        </w:rPr>
      </w:pPr>
      <w:r>
        <w:rPr>
          <w:rFonts w:hint="eastAsia" w:ascii="Times New Roman" w:hAnsi="Times New Roman" w:eastAsia="仿宋" w:cs="Times New Roman"/>
          <w:b w:val="0"/>
          <w:bCs w:val="0"/>
          <w:color w:val="auto"/>
          <w:sz w:val="24"/>
          <w:szCs w:val="24"/>
          <w:lang w:val="en-US" w:eastAsia="zh-CN"/>
        </w:rPr>
        <w:t>2025年度监测期间，开发区内中垄、桥头村、张窝监测结果满足《声环境质量标准》（GB3096-2008）中2类限值；高速路口、石垄村监测结果满足《声环境质量标准》（GB3096-2008）中4a类限值。</w:t>
      </w:r>
    </w:p>
    <w:p>
      <w:pPr>
        <w:pStyle w:val="2"/>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decorative"/>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Helvetica">
    <w:altName w:val="Quicksand Light"/>
    <w:panose1 w:val="00000000000000000000"/>
    <w:charset w:val="00"/>
    <w:family w:val="auto"/>
    <w:pitch w:val="default"/>
    <w:sig w:usb0="00000000" w:usb1="00000000" w:usb2="00000000" w:usb3="00000000" w:csb0="00000000" w:csb1="00000000"/>
  </w:font>
  <w:font w:name="Quicksand Light">
    <w:panose1 w:val="00000400000000000000"/>
    <w:charset w:val="00"/>
    <w:family w:val="auto"/>
    <w:pitch w:val="default"/>
    <w:sig w:usb0="2000000F" w:usb1="00000001" w:usb2="00000000" w:usb3="00000000" w:csb0="20000193"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Droid Sans Fallback">
    <w:panose1 w:val="020B0502000000000001"/>
    <w:charset w:val="86"/>
    <w:family w:val="auto"/>
    <w:pitch w:val="default"/>
    <w:sig w:usb0="910002FF" w:usb1="2BDFFCFB" w:usb2="00000036" w:usb3="00000000" w:csb0="203F01FF" w:csb1="D7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3YjhjYmUzODlkMDhmMDFhOGYyMDZiYWRmNTNmZDIifQ=="/>
  </w:docVars>
  <w:rsids>
    <w:rsidRoot w:val="29FF7E5F"/>
    <w:rsid w:val="02795F33"/>
    <w:rsid w:val="028653EF"/>
    <w:rsid w:val="03996E98"/>
    <w:rsid w:val="04B52C5F"/>
    <w:rsid w:val="051E3E30"/>
    <w:rsid w:val="06F15AA5"/>
    <w:rsid w:val="07622457"/>
    <w:rsid w:val="08F438BE"/>
    <w:rsid w:val="0B3E3E86"/>
    <w:rsid w:val="0E440F78"/>
    <w:rsid w:val="0FAE3FC6"/>
    <w:rsid w:val="12543AB7"/>
    <w:rsid w:val="19F85670"/>
    <w:rsid w:val="1A9133CF"/>
    <w:rsid w:val="1CF96373"/>
    <w:rsid w:val="1D0177A7"/>
    <w:rsid w:val="1E7B7486"/>
    <w:rsid w:val="23E32EED"/>
    <w:rsid w:val="278E1D27"/>
    <w:rsid w:val="28AF6DAA"/>
    <w:rsid w:val="29FE173C"/>
    <w:rsid w:val="29FF7E5F"/>
    <w:rsid w:val="2B815C5C"/>
    <w:rsid w:val="2C8139BA"/>
    <w:rsid w:val="2F270717"/>
    <w:rsid w:val="33D767E7"/>
    <w:rsid w:val="40B37B9F"/>
    <w:rsid w:val="40F0234E"/>
    <w:rsid w:val="41405579"/>
    <w:rsid w:val="46362EF9"/>
    <w:rsid w:val="475C073D"/>
    <w:rsid w:val="49066BB2"/>
    <w:rsid w:val="4AE67F9A"/>
    <w:rsid w:val="50693A6B"/>
    <w:rsid w:val="52A15B9E"/>
    <w:rsid w:val="53583E92"/>
    <w:rsid w:val="547846DC"/>
    <w:rsid w:val="54C938DA"/>
    <w:rsid w:val="54EA382C"/>
    <w:rsid w:val="55992B5C"/>
    <w:rsid w:val="569448CA"/>
    <w:rsid w:val="59070080"/>
    <w:rsid w:val="5DF17AF3"/>
    <w:rsid w:val="5DFC1DCF"/>
    <w:rsid w:val="60D01E8A"/>
    <w:rsid w:val="67D670A6"/>
    <w:rsid w:val="68787311"/>
    <w:rsid w:val="69F35382"/>
    <w:rsid w:val="6D4B2536"/>
    <w:rsid w:val="6DA265FA"/>
    <w:rsid w:val="6E296D1B"/>
    <w:rsid w:val="710B095A"/>
    <w:rsid w:val="729B4261"/>
    <w:rsid w:val="75D946FA"/>
    <w:rsid w:val="779010EF"/>
    <w:rsid w:val="77EFEC40"/>
    <w:rsid w:val="781E2D3A"/>
    <w:rsid w:val="78FB1F24"/>
    <w:rsid w:val="791735C2"/>
    <w:rsid w:val="79A62C11"/>
    <w:rsid w:val="79C26B20"/>
    <w:rsid w:val="79DA0988"/>
    <w:rsid w:val="7C134B67"/>
    <w:rsid w:val="7CD21A8E"/>
    <w:rsid w:val="7F3B6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spacing w:after="120" w:afterLines="0"/>
      <w:ind w:left="420" w:leftChars="200"/>
    </w:pPr>
    <w:rPr>
      <w:rFonts w:ascii="Times New Roman" w:hAnsi="Times New Roman" w:eastAsia="宋体" w:cs="Times New Roman"/>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6"/>
    <w:qFormat/>
    <w:uiPriority w:val="0"/>
    <w:pPr>
      <w:ind w:firstLine="420" w:firstLineChars="200"/>
    </w:p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3">
    <w:name w:val="0正文"/>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14">
    <w:name w:val="Table Text"/>
    <w:basedOn w:val="1"/>
    <w:semiHidden/>
    <w:qFormat/>
    <w:uiPriority w:val="0"/>
    <w:rPr>
      <w:rFonts w:ascii="Times New Roman" w:hAnsi="Times New Roman" w:eastAsia="Times New Roman" w:cs="Times New Roman"/>
      <w:sz w:val="20"/>
      <w:szCs w:val="20"/>
      <w:lang w:val="en-US" w:eastAsia="en-US" w:bidi="ar-SA"/>
    </w:rPr>
  </w:style>
  <w:style w:type="paragraph" w:customStyle="1" w:styleId="15">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1326</Words>
  <Characters>1517</Characters>
  <Lines>0</Lines>
  <Paragraphs>0</Paragraphs>
  <TotalTime>2</TotalTime>
  <ScaleCrop>false</ScaleCrop>
  <LinksUpToDate>false</LinksUpToDate>
  <CharactersWithSpaces>1522</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2024-01-02T09:09:00Z</dcterms:created>
  <dc:creator>.the</dc:creator>
  <cp:lastModifiedBy>tangcheng</cp:lastModifiedBy>
  <cp:lastPrinted>2024-01-16T17:23:00Z</cp:lastPrinted>
  <dcterms:modified xsi:type="dcterms:W3CDTF">2026-01-20T15:58:14Z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52404C06EB0067BC96356F697CD68C29</vt:lpwstr>
  </property>
  <property fmtid="{D5CDD505-2E9C-101B-9397-08002B2CF9AE}" pid="4" name="KSOTemplateDocerSaveRecord">
    <vt:lpwstr>eyJoZGlkIjoiYzRiZTg3ZTFlM2ZiOWEwMzc3ODc1NTMyODkyODg2MzkiLCJ1c2VySWQiOiIzNzA2MDE4OTgifQ==</vt:lpwstr>
  </property>
</Properties>
</file>