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u w:val="none"/>
          <w:lang w:val="en-US" w:eastAsia="zh-CN"/>
        </w:rPr>
      </w:pPr>
    </w:p>
    <w:p>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36"/>
          <w:szCs w:val="36"/>
          <w:u w:val="none"/>
          <w:lang w:val="en-US" w:eastAsia="zh-CN"/>
        </w:rPr>
      </w:pPr>
      <w:r>
        <w:rPr>
          <w:rFonts w:hint="eastAsia" w:ascii="方正小标宋简体" w:hAnsi="方正小标宋简体" w:eastAsia="方正小标宋简体" w:cs="方正小标宋简体"/>
          <w:sz w:val="36"/>
          <w:szCs w:val="36"/>
          <w:u w:val="none"/>
          <w:lang w:val="en-US" w:eastAsia="zh-CN"/>
        </w:rPr>
        <w:t>通山县九宫山镇财政所本级</w:t>
      </w:r>
    </w:p>
    <w:p>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u w:val="none"/>
          <w:lang w:val="en-US" w:eastAsia="zh-CN"/>
        </w:rPr>
        <w:t>2024</w:t>
      </w:r>
      <w:r>
        <w:rPr>
          <w:rFonts w:hint="eastAsia" w:ascii="方正小标宋简体" w:hAnsi="方正小标宋简体" w:eastAsia="方正小标宋简体" w:cs="方正小标宋简体"/>
          <w:sz w:val="36"/>
          <w:szCs w:val="36"/>
          <w:lang w:val="en-US" w:eastAsia="zh-CN"/>
        </w:rPr>
        <w:t>年度部门决算</w:t>
      </w:r>
    </w:p>
    <w:p>
      <w:pPr>
        <w:keepNext w:val="0"/>
        <w:keepLines w:val="0"/>
        <w:pageBreakBefore w:val="0"/>
        <w:widowControl w:val="0"/>
        <w:shd w:val="clear" w:color="auto" w:fill="FFFFFF"/>
        <w:kinsoku/>
        <w:wordWrap/>
        <w:overflowPunct/>
        <w:topLinePunct w:val="0"/>
        <w:bidi w:val="0"/>
        <w:spacing w:before="240" w:after="240" w:line="360" w:lineRule="auto"/>
        <w:jc w:val="both"/>
        <w:textAlignment w:val="auto"/>
        <w:outlineLvl w:val="9"/>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目    录</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lang w:val="en-US" w:eastAsia="zh-CN"/>
        </w:rPr>
      </w:pPr>
      <w:r>
        <w:rPr>
          <w:rStyle w:val="9"/>
          <w:rFonts w:hint="eastAsia" w:ascii="黑体" w:hAnsi="黑体" w:eastAsia="黑体" w:cs="黑体"/>
          <w:sz w:val="32"/>
          <w:szCs w:val="32"/>
          <w:rtl w:val="0"/>
          <w:lang w:val="en-US" w:eastAsia="zh-CN"/>
        </w:rPr>
        <w:t>第一部分</w:t>
      </w:r>
      <w:r>
        <w:rPr>
          <w:rStyle w:val="9"/>
          <w:rFonts w:hint="eastAsia" w:ascii="黑体" w:hAnsi="黑体" w:eastAsia="黑体" w:cs="黑体"/>
          <w:sz w:val="32"/>
          <w:szCs w:val="32"/>
          <w:rtl w:val="0"/>
          <w:lang w:val="en-US" w:eastAsia="en-US"/>
        </w:rPr>
        <w:t xml:space="preserve">  </w:t>
      </w:r>
      <w:r>
        <w:rPr>
          <w:rStyle w:val="9"/>
          <w:rFonts w:hint="eastAsia" w:ascii="黑体" w:hAnsi="黑体" w:eastAsia="黑体" w:cs="黑体"/>
          <w:sz w:val="32"/>
          <w:szCs w:val="32"/>
          <w:u w:val="none"/>
          <w:rtl w:val="0"/>
          <w:lang w:val="en-US" w:eastAsia="zh-CN"/>
        </w:rPr>
        <w:t>通山县九宫山镇财政所本级</w:t>
      </w:r>
      <w:r>
        <w:rPr>
          <w:rStyle w:val="9"/>
          <w:rFonts w:hint="eastAsia" w:ascii="黑体" w:hAnsi="黑体" w:eastAsia="黑体" w:cs="黑体"/>
          <w:sz w:val="32"/>
          <w:szCs w:val="32"/>
          <w:rtl w:val="0"/>
          <w:lang w:val="en-US" w:eastAsia="zh-CN"/>
        </w:rPr>
        <w:t>概况</w:t>
      </w:r>
    </w:p>
    <w:p>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一、部门主要</w:t>
      </w:r>
      <w:r>
        <w:rPr>
          <w:rFonts w:hint="eastAsia" w:ascii="仿宋_GB2312" w:hAnsi="宋体" w:cs="Times New Roman"/>
          <w:bCs/>
          <w:sz w:val="32"/>
          <w:szCs w:val="32"/>
          <w:highlight w:val="none"/>
          <w:rtl w:val="0"/>
          <w:lang w:val="en-US" w:eastAsia="zh-CN"/>
        </w:rPr>
        <w:t>职责</w:t>
      </w:r>
    </w:p>
    <w:p>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二、</w:t>
      </w:r>
      <w:r>
        <w:rPr>
          <w:rFonts w:hint="eastAsia" w:ascii="仿宋_GB2312" w:hAnsi="宋体" w:cs="Times New Roman"/>
          <w:bCs/>
          <w:sz w:val="32"/>
          <w:szCs w:val="32"/>
          <w:highlight w:val="none"/>
          <w:rtl w:val="0"/>
          <w:lang w:val="en-US" w:eastAsia="zh-CN"/>
        </w:rPr>
        <w:t>机构设置情况</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9"/>
          <w:rFonts w:ascii="黑体" w:hAnsi="黑体" w:eastAsia="黑体" w:cs="黑体"/>
          <w:sz w:val="32"/>
          <w:szCs w:val="32"/>
          <w:rtl w:val="0"/>
          <w:lang w:val="en-US" w:eastAsia="zh-CN"/>
        </w:rPr>
        <w:t>第二部分</w:t>
      </w:r>
      <w:r>
        <w:rPr>
          <w:rStyle w:val="9"/>
          <w:rFonts w:ascii="黑体" w:hAnsi="黑体" w:eastAsia="黑体" w:cs="黑体"/>
          <w:sz w:val="32"/>
          <w:szCs w:val="32"/>
          <w:rtl w:val="0"/>
          <w:lang w:val="en-US" w:eastAsia="en-US"/>
        </w:rPr>
        <w:t> </w:t>
      </w:r>
      <w:r>
        <w:rPr>
          <w:rStyle w:val="9"/>
          <w:rFonts w:hint="eastAsia" w:ascii="黑体" w:hAnsi="黑体" w:eastAsia="黑体" w:cs="黑体"/>
          <w:sz w:val="32"/>
          <w:szCs w:val="32"/>
          <w:u w:val="none"/>
          <w:rtl w:val="0"/>
          <w:lang w:val="en-US" w:eastAsia="en-US"/>
        </w:rPr>
        <w:t>通山县九宫山镇财政所本级</w:t>
      </w:r>
      <w:r>
        <w:rPr>
          <w:rStyle w:val="9"/>
          <w:rFonts w:hint="eastAsia" w:ascii="黑体" w:hAnsi="黑体" w:eastAsia="黑体" w:cs="黑体"/>
          <w:sz w:val="32"/>
          <w:szCs w:val="32"/>
          <w:rtl w:val="0"/>
          <w:lang w:val="en-US" w:eastAsia="zh-CN"/>
        </w:rPr>
        <w:t>2024</w:t>
      </w:r>
      <w:r>
        <w:rPr>
          <w:rStyle w:val="9"/>
          <w:rFonts w:ascii="黑体" w:hAnsi="黑体" w:eastAsia="黑体" w:cs="黑体"/>
          <w:sz w:val="32"/>
          <w:szCs w:val="32"/>
          <w:rtl w:val="0"/>
          <w:lang w:val="en-US" w:eastAsia="zh-CN"/>
        </w:rPr>
        <w:t>年度部门决算表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一、收入支出决算总表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五、一般公共预算财政拨款支出决算表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六、一般公共预算财政拨款基本支出决算明细表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七</w:t>
      </w:r>
      <w:r>
        <w:rPr>
          <w:rFonts w:hint="eastAsia" w:ascii="Times New Roman" w:hAnsi="Times New Roman" w:cs="Times New Roman"/>
          <w:lang w:val="en-US" w:eastAsia="zh-CN"/>
        </w:rPr>
        <w:t>、政府性基金预算财政拨款收入支出决算表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八</w:t>
      </w:r>
      <w:r>
        <w:rPr>
          <w:rFonts w:hint="eastAsia" w:ascii="Times New Roman" w:hAnsi="Times New Roman" w:cs="Times New Roman"/>
          <w:lang w:val="en-US" w:eastAsia="zh-CN"/>
        </w:rPr>
        <w:t>、国有资本经营预算财政拨款支出决算表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九</w:t>
      </w:r>
      <w:r>
        <w:rPr>
          <w:rFonts w:hint="eastAsia" w:ascii="Times New Roman" w:hAnsi="Times New Roman" w:cs="Times New Roman"/>
          <w:lang w:val="en-US" w:eastAsia="zh-CN"/>
        </w:rPr>
        <w:t>、财政拨款“三公”经费支出决算表</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9"/>
          <w:rFonts w:ascii="黑体" w:hAnsi="黑体" w:eastAsia="黑体" w:cs="黑体"/>
          <w:sz w:val="32"/>
          <w:szCs w:val="32"/>
          <w:rtl w:val="0"/>
          <w:lang w:val="en-US" w:eastAsia="zh-CN"/>
        </w:rPr>
        <w:t>第三部分</w:t>
      </w:r>
      <w:r>
        <w:rPr>
          <w:rStyle w:val="9"/>
          <w:rFonts w:ascii="黑体" w:hAnsi="黑体" w:eastAsia="黑体" w:cs="黑体"/>
          <w:sz w:val="32"/>
          <w:szCs w:val="32"/>
          <w:rtl w:val="0"/>
          <w:lang w:val="en-US" w:eastAsia="en-US"/>
        </w:rPr>
        <w:t xml:space="preserve">  </w:t>
      </w:r>
      <w:r>
        <w:rPr>
          <w:rFonts w:hint="eastAsia" w:ascii="黑体" w:hAnsi="黑体" w:eastAsia="黑体"/>
          <w:szCs w:val="32"/>
          <w:lang w:val="en-US" w:eastAsia="zh-CN"/>
        </w:rPr>
        <w:t>通山县九宫山镇财政所本级</w:t>
      </w:r>
      <w:r>
        <w:rPr>
          <w:rStyle w:val="9"/>
          <w:rFonts w:hint="eastAsia" w:ascii="黑体" w:hAnsi="黑体" w:eastAsia="黑体" w:cs="黑体"/>
          <w:sz w:val="32"/>
          <w:szCs w:val="32"/>
          <w:rtl w:val="0"/>
          <w:lang w:val="en-US" w:eastAsia="zh-CN"/>
        </w:rPr>
        <w:t>2024</w:t>
      </w:r>
      <w:r>
        <w:rPr>
          <w:rStyle w:val="9"/>
          <w:rFonts w:ascii="黑体" w:hAnsi="黑体" w:eastAsia="黑体" w:cs="黑体"/>
          <w:sz w:val="32"/>
          <w:szCs w:val="32"/>
          <w:rtl w:val="0"/>
          <w:lang w:val="en-US" w:eastAsia="zh-CN"/>
        </w:rPr>
        <w:t>年度部门决算情况说明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一、收入支出决算总体情况说明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四、财政拨款收入支出决算总体情况说明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五、一般公共预算财政拨款支出决算情况说明</w:t>
      </w:r>
    </w:p>
    <w:p>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六、一般公共预算财政拨款基本支出决算情况说明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lang w:val="en-US" w:eastAsia="zh-CN"/>
        </w:rPr>
        <w:t xml:space="preserve">七、政府性基金预算财政拨款收入支出决算情况说明 </w:t>
      </w:r>
    </w:p>
    <w:p>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八、国有资本经营预算财政拨款支出决算情况说明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 xml:space="preserve">九、财政拨款“三公”经费支出决算情况说明 </w:t>
      </w:r>
    </w:p>
    <w:p>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十、机关运行经费支出说明</w:t>
      </w:r>
    </w:p>
    <w:p>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十一、政府采购支出说明</w:t>
      </w:r>
    </w:p>
    <w:p>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十二、国有资产占用情况说明</w:t>
      </w:r>
    </w:p>
    <w:p>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十三、预算绩效情况说明</w:t>
      </w:r>
    </w:p>
    <w:p>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十四、专项支出、转移支付支出情况说明</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Style w:val="9"/>
          <w:rFonts w:ascii="黑体" w:hAnsi="黑体" w:eastAsia="黑体" w:cs="黑体"/>
          <w:sz w:val="32"/>
          <w:szCs w:val="32"/>
          <w:rtl w:val="0"/>
          <w:lang w:val="en-US" w:eastAsia="zh-CN"/>
        </w:rPr>
        <w:t>第四部分</w:t>
      </w:r>
      <w:r>
        <w:rPr>
          <w:rStyle w:val="9"/>
          <w:rFonts w:hint="eastAsia" w:ascii="黑体" w:hAnsi="黑体" w:eastAsia="黑体" w:cs="黑体"/>
          <w:sz w:val="32"/>
          <w:szCs w:val="32"/>
          <w:rtl w:val="0"/>
          <w:lang w:val="en-US" w:eastAsia="zh-CN"/>
        </w:rPr>
        <w:t xml:space="preserve">  </w:t>
      </w:r>
      <w:r>
        <w:rPr>
          <w:rFonts w:hint="eastAsia" w:ascii="黑体" w:hAnsi="黑体" w:eastAsia="黑体" w:cs="黑体"/>
          <w:sz w:val="32"/>
          <w:szCs w:val="32"/>
          <w:lang w:val="en-US" w:eastAsia="zh-CN"/>
        </w:rPr>
        <w:t>其他需要说明的情况</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第五部分  </w:t>
      </w:r>
      <w:r>
        <w:rPr>
          <w:rStyle w:val="9"/>
          <w:rFonts w:ascii="黑体" w:hAnsi="黑体" w:eastAsia="黑体" w:cs="黑体"/>
          <w:sz w:val="32"/>
          <w:szCs w:val="32"/>
          <w:rtl w:val="0"/>
          <w:lang w:val="en-US" w:eastAsia="zh-CN"/>
        </w:rPr>
        <w:t>名词解释</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Style w:val="9"/>
          <w:rFonts w:hint="eastAsia" w:ascii="黑体" w:hAnsi="黑体" w:eastAsia="黑体" w:cs="黑体"/>
          <w:sz w:val="32"/>
          <w:szCs w:val="32"/>
          <w:rtl w:val="0"/>
          <w:lang w:val="en-US" w:eastAsia="zh-CN"/>
        </w:rPr>
      </w:pPr>
      <w:r>
        <w:rPr>
          <w:rStyle w:val="9"/>
          <w:rFonts w:ascii="黑体" w:hAnsi="黑体" w:eastAsia="黑体" w:cs="黑体"/>
          <w:sz w:val="32"/>
          <w:szCs w:val="32"/>
          <w:rtl w:val="0"/>
          <w:lang w:val="en-US" w:eastAsia="zh-CN"/>
        </w:rPr>
        <w:t>第</w:t>
      </w:r>
      <w:r>
        <w:rPr>
          <w:rStyle w:val="9"/>
          <w:rFonts w:hint="eastAsia" w:ascii="黑体" w:hAnsi="黑体" w:eastAsia="黑体" w:cs="黑体"/>
          <w:sz w:val="32"/>
          <w:szCs w:val="32"/>
          <w:rtl w:val="0"/>
          <w:lang w:val="en-US" w:eastAsia="zh-CN"/>
        </w:rPr>
        <w:t>六</w:t>
      </w:r>
      <w:r>
        <w:rPr>
          <w:rStyle w:val="9"/>
          <w:rFonts w:ascii="黑体" w:hAnsi="黑体" w:eastAsia="黑体" w:cs="黑体"/>
          <w:sz w:val="32"/>
          <w:szCs w:val="32"/>
          <w:rtl w:val="0"/>
          <w:lang w:val="en-US" w:eastAsia="zh-CN"/>
        </w:rPr>
        <w:t>部分</w:t>
      </w:r>
      <w:r>
        <w:rPr>
          <w:rStyle w:val="9"/>
          <w:rFonts w:hint="eastAsia" w:ascii="黑体" w:hAnsi="黑体" w:eastAsia="黑体" w:cs="黑体"/>
          <w:sz w:val="32"/>
          <w:szCs w:val="32"/>
          <w:rtl w:val="0"/>
          <w:lang w:val="en-US" w:eastAsia="zh-CN"/>
        </w:rPr>
        <w:t xml:space="preserve">  附件</w:t>
      </w:r>
    </w:p>
    <w:p>
      <w:pPr>
        <w:keepNext w:val="0"/>
        <w:keepLines w:val="0"/>
        <w:pageBreakBefore w:val="0"/>
        <w:widowControl w:val="0"/>
        <w:numPr>
          <w:ilvl w:val="0"/>
          <w:numId w:val="0"/>
        </w:numPr>
        <w:kinsoku/>
        <w:wordWrap/>
        <w:overflowPunct/>
        <w:topLinePunct w:val="0"/>
        <w:bidi w:val="0"/>
        <w:spacing w:line="360" w:lineRule="auto"/>
        <w:jc w:val="both"/>
        <w:textAlignment w:val="auto"/>
        <w:outlineLvl w:val="9"/>
        <w:rPr>
          <w:rStyle w:val="9"/>
          <w:rFonts w:hint="eastAsia" w:ascii="黑体" w:hAnsi="黑体" w:eastAsia="黑体" w:cs="黑体"/>
          <w:sz w:val="32"/>
          <w:szCs w:val="32"/>
          <w:rtl w:val="0"/>
          <w:lang w:val="en-US" w:eastAsia="zh-CN"/>
        </w:rPr>
      </w:pPr>
    </w:p>
    <w:p>
      <w:pPr>
        <w:numPr>
          <w:ilvl w:val="0"/>
          <w:numId w:val="0"/>
        </w:numPr>
        <w:ind w:firstLine="640" w:firstLineChars="200"/>
        <w:jc w:val="both"/>
        <w:rPr>
          <w:rFonts w:hint="eastAsia" w:ascii="黑体" w:hAnsi="黑体" w:eastAsia="黑体" w:cs="黑体"/>
          <w:sz w:val="32"/>
          <w:szCs w:val="32"/>
          <w:u w:val="none"/>
          <w:lang w:val="en-US" w:eastAsia="zh-CN"/>
        </w:rPr>
      </w:pPr>
    </w:p>
    <w:p>
      <w:pPr>
        <w:numPr>
          <w:ilvl w:val="0"/>
          <w:numId w:val="0"/>
        </w:numPr>
        <w:ind w:firstLine="640" w:firstLineChars="200"/>
        <w:jc w:val="both"/>
        <w:rPr>
          <w:rFonts w:hint="eastAsia" w:ascii="黑体" w:hAnsi="黑体" w:eastAsia="黑体" w:cs="黑体"/>
          <w:sz w:val="32"/>
          <w:szCs w:val="32"/>
          <w:u w:val="none"/>
          <w:lang w:val="en-US" w:eastAsia="zh-CN"/>
        </w:rPr>
      </w:pPr>
    </w:p>
    <w:p>
      <w:pPr>
        <w:numPr>
          <w:ilvl w:val="0"/>
          <w:numId w:val="0"/>
        </w:numPr>
        <w:jc w:val="both"/>
        <w:rPr>
          <w:rFonts w:hint="eastAsia" w:ascii="黑体" w:hAnsi="黑体" w:eastAsia="黑体" w:cs="黑体"/>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（说明：目录页码自行编辑）</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第一部分  通山县九宫山镇财政所本级</w:t>
      </w:r>
      <w:r>
        <w:rPr>
          <w:rFonts w:hint="eastAsia" w:ascii="黑体" w:hAnsi="黑体" w:eastAsia="黑体" w:cs="黑体"/>
          <w:sz w:val="32"/>
          <w:szCs w:val="32"/>
          <w:lang w:val="en-US" w:eastAsia="zh-CN"/>
        </w:rPr>
        <w:t>概况</w:t>
      </w:r>
    </w:p>
    <w:p>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一、部门主要职责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负责本级政府预算资金监管，包括本级财政预（决）算编制，预算执行、财政转移支付和专项资金监督管理。落实“一卡通”实施，通过“一卡通”，对地力保护补贴、稻谷补贴和一次性补贴资金的发放和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w:t>
      </w:r>
      <w:r>
        <w:rPr>
          <w:rFonts w:hint="default"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cs="仿宋_GB2312"/>
          <w:b w:val="0"/>
          <w:bCs w:val="0"/>
          <w:color w:val="auto"/>
          <w:kern w:val="2"/>
          <w:sz w:val="32"/>
          <w:szCs w:val="32"/>
          <w:highlight w:val="none"/>
          <w:lang w:val="en-US" w:eastAsia="zh-CN" w:bidi="ar-SA"/>
        </w:rPr>
        <w:t>镇</w:t>
      </w:r>
      <w:r>
        <w:rPr>
          <w:rFonts w:hint="default" w:ascii="仿宋_GB2312" w:hAnsi="仿宋_GB2312" w:eastAsia="仿宋_GB2312" w:cs="仿宋_GB2312"/>
          <w:b w:val="0"/>
          <w:bCs w:val="0"/>
          <w:color w:val="auto"/>
          <w:kern w:val="2"/>
          <w:sz w:val="32"/>
          <w:szCs w:val="32"/>
          <w:highlight w:val="none"/>
          <w:lang w:val="en-US" w:eastAsia="zh-CN" w:bidi="ar-SA"/>
        </w:rPr>
        <w:t>财政专项资金的管理及内部审计工作；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3、协助</w:t>
      </w:r>
      <w:r>
        <w:rPr>
          <w:rFonts w:hint="eastAsia" w:ascii="仿宋_GB2312" w:hAnsi="仿宋_GB2312" w:cs="仿宋_GB2312"/>
          <w:b w:val="0"/>
          <w:bCs w:val="0"/>
          <w:color w:val="auto"/>
          <w:kern w:val="2"/>
          <w:sz w:val="32"/>
          <w:szCs w:val="32"/>
          <w:highlight w:val="none"/>
          <w:lang w:val="en-US" w:eastAsia="zh-CN" w:bidi="ar-SA"/>
        </w:rPr>
        <w:t>镇</w:t>
      </w:r>
      <w:r>
        <w:rPr>
          <w:rFonts w:hint="eastAsia" w:ascii="仿宋_GB2312" w:hAnsi="仿宋_GB2312" w:eastAsia="仿宋_GB2312" w:cs="仿宋_GB2312"/>
          <w:b w:val="0"/>
          <w:bCs w:val="0"/>
          <w:color w:val="auto"/>
          <w:kern w:val="2"/>
          <w:sz w:val="32"/>
          <w:szCs w:val="32"/>
          <w:highlight w:val="none"/>
          <w:lang w:val="en-US" w:eastAsia="zh-CN" w:bidi="ar-SA"/>
        </w:rPr>
        <w:t>村两级清收债权，化解债务。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4、对</w:t>
      </w:r>
      <w:r>
        <w:rPr>
          <w:rFonts w:hint="eastAsia" w:ascii="仿宋_GB2312" w:hAnsi="仿宋_GB2312" w:cs="仿宋_GB2312"/>
          <w:b w:val="0"/>
          <w:bCs w:val="0"/>
          <w:color w:val="auto"/>
          <w:kern w:val="2"/>
          <w:sz w:val="32"/>
          <w:szCs w:val="32"/>
          <w:highlight w:val="none"/>
          <w:lang w:val="en-US" w:eastAsia="zh-CN" w:bidi="ar-SA"/>
        </w:rPr>
        <w:t>镇</w:t>
      </w:r>
      <w:r>
        <w:rPr>
          <w:rFonts w:hint="default" w:ascii="仿宋_GB2312" w:hAnsi="仿宋_GB2312" w:eastAsia="仿宋_GB2312" w:cs="仿宋_GB2312"/>
          <w:b w:val="0"/>
          <w:bCs w:val="0"/>
          <w:color w:val="auto"/>
          <w:kern w:val="2"/>
          <w:sz w:val="32"/>
          <w:szCs w:val="32"/>
          <w:highlight w:val="none"/>
          <w:lang w:val="en-US" w:eastAsia="zh-CN" w:bidi="ar-SA"/>
        </w:rPr>
        <w:t>国有资产的登记、处置进行管理，确保</w:t>
      </w:r>
      <w:r>
        <w:rPr>
          <w:rFonts w:hint="eastAsia" w:ascii="仿宋_GB2312" w:hAnsi="仿宋_GB2312" w:cs="仿宋_GB2312"/>
          <w:b w:val="0"/>
          <w:bCs w:val="0"/>
          <w:color w:val="auto"/>
          <w:kern w:val="2"/>
          <w:sz w:val="32"/>
          <w:szCs w:val="32"/>
          <w:highlight w:val="none"/>
          <w:lang w:val="en-US" w:eastAsia="zh-CN" w:bidi="ar-SA"/>
        </w:rPr>
        <w:t>乡</w:t>
      </w:r>
      <w:r>
        <w:rPr>
          <w:rFonts w:hint="default" w:ascii="仿宋_GB2312" w:hAnsi="仿宋_GB2312" w:eastAsia="仿宋_GB2312" w:cs="仿宋_GB2312"/>
          <w:b w:val="0"/>
          <w:bCs w:val="0"/>
          <w:color w:val="auto"/>
          <w:kern w:val="2"/>
          <w:sz w:val="32"/>
          <w:szCs w:val="32"/>
          <w:highlight w:val="none"/>
          <w:lang w:val="en-US" w:eastAsia="zh-CN" w:bidi="ar-SA"/>
        </w:rPr>
        <w:t>国有资产安全和保值增值</w:t>
      </w:r>
      <w:r>
        <w:rPr>
          <w:rFonts w:hint="eastAsia" w:ascii="仿宋_GB2312" w:hAnsi="仿宋_GB2312" w:eastAsia="仿宋_GB2312" w:cs="仿宋_GB2312"/>
          <w:b w:val="0"/>
          <w:bCs w:val="0"/>
          <w:color w:val="auto"/>
          <w:kern w:val="2"/>
          <w:sz w:val="32"/>
          <w:szCs w:val="32"/>
          <w:highlight w:val="none"/>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5、贯彻党和国家财经方针政策，严格执行财政法规和财经制度</w:t>
      </w:r>
      <w:r>
        <w:rPr>
          <w:rFonts w:hint="eastAsia" w:ascii="仿宋_GB2312" w:hAnsi="仿宋_GB2312" w:eastAsia="仿宋_GB2312" w:cs="仿宋_GB2312"/>
          <w:b w:val="0"/>
          <w:bCs w:val="0"/>
          <w:color w:val="auto"/>
          <w:kern w:val="2"/>
          <w:sz w:val="32"/>
          <w:szCs w:val="32"/>
          <w:highlight w:val="none"/>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6、指导和协助村（社区）建立健全各项财务制度，并监督执行</w:t>
      </w:r>
      <w:r>
        <w:rPr>
          <w:rFonts w:hint="eastAsia" w:ascii="仿宋_GB2312" w:hAnsi="仿宋_GB2312" w:eastAsia="仿宋_GB2312" w:cs="仿宋_GB2312"/>
          <w:b w:val="0"/>
          <w:bCs w:val="0"/>
          <w:color w:val="auto"/>
          <w:kern w:val="2"/>
          <w:sz w:val="32"/>
          <w:szCs w:val="32"/>
          <w:highlight w:val="none"/>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7、完成</w:t>
      </w:r>
      <w:r>
        <w:rPr>
          <w:rFonts w:hint="eastAsia" w:ascii="仿宋_GB2312" w:hAnsi="仿宋_GB2312" w:cs="仿宋_GB2312"/>
          <w:b w:val="0"/>
          <w:bCs w:val="0"/>
          <w:color w:val="auto"/>
          <w:kern w:val="2"/>
          <w:sz w:val="32"/>
          <w:szCs w:val="32"/>
          <w:highlight w:val="none"/>
          <w:lang w:val="en-US" w:eastAsia="zh-CN" w:bidi="ar-SA"/>
        </w:rPr>
        <w:t>镇</w:t>
      </w:r>
      <w:r>
        <w:rPr>
          <w:rFonts w:hint="default" w:ascii="仿宋_GB2312" w:hAnsi="仿宋_GB2312" w:eastAsia="仿宋_GB2312" w:cs="仿宋_GB2312"/>
          <w:b w:val="0"/>
          <w:bCs w:val="0"/>
          <w:color w:val="auto"/>
          <w:kern w:val="2"/>
          <w:sz w:val="32"/>
          <w:szCs w:val="32"/>
          <w:highlight w:val="none"/>
          <w:lang w:val="en-US" w:eastAsia="zh-CN" w:bidi="ar-SA"/>
        </w:rPr>
        <w:t>党委、政府及县财政局交办的其他工作。</w:t>
      </w:r>
    </w:p>
    <w:p>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p>
    <w:p>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黑体" w:hAnsi="黑体" w:eastAsia="黑体" w:cs="黑体"/>
          <w:bCs/>
          <w:sz w:val="32"/>
          <w:szCs w:val="32"/>
          <w:highlight w:val="none"/>
          <w:lang w:val="en-US" w:eastAsia="zh-CN"/>
        </w:rPr>
        <w:t>二、机构设置情况</w:t>
      </w:r>
    </w:p>
    <w:p>
      <w:pPr>
        <w:spacing w:line="580" w:lineRule="exact"/>
        <w:ind w:firstLine="640" w:firstLineChars="200"/>
        <w:rPr>
          <w:szCs w:val="32"/>
        </w:rPr>
      </w:pPr>
      <w:r>
        <w:rPr>
          <w:szCs w:val="32"/>
        </w:rPr>
        <w:t>从单位构成看，通山县</w:t>
      </w:r>
      <w:r>
        <w:rPr>
          <w:rFonts w:hint="eastAsia"/>
          <w:szCs w:val="32"/>
          <w:lang w:val="en-US" w:eastAsia="zh-CN"/>
        </w:rPr>
        <w:t>九宫山</w:t>
      </w:r>
      <w:r>
        <w:rPr>
          <w:szCs w:val="32"/>
        </w:rPr>
        <w:t>镇财政所部门决算由实行独立核算的通山县</w:t>
      </w:r>
      <w:r>
        <w:rPr>
          <w:rFonts w:hint="eastAsia"/>
          <w:szCs w:val="32"/>
          <w:lang w:val="en-US" w:eastAsia="zh-CN"/>
        </w:rPr>
        <w:t>九宫山</w:t>
      </w:r>
      <w:r>
        <w:rPr>
          <w:szCs w:val="32"/>
        </w:rPr>
        <w:t>镇财政所本级决算组成。</w:t>
      </w:r>
    </w:p>
    <w:p>
      <w:pPr>
        <w:spacing w:line="580" w:lineRule="exact"/>
        <w:ind w:firstLine="640" w:firstLineChars="200"/>
        <w:rPr>
          <w:rFonts w:hint="default" w:eastAsia="仿宋_GB2312"/>
          <w:szCs w:val="32"/>
          <w:lang w:val="en-US" w:eastAsia="zh-CN"/>
        </w:rPr>
      </w:pPr>
      <w:r>
        <w:rPr>
          <w:szCs w:val="32"/>
        </w:rPr>
        <w:t>根据上述职能，</w:t>
      </w:r>
      <w:r>
        <w:rPr>
          <w:rFonts w:hint="eastAsia"/>
          <w:szCs w:val="32"/>
          <w:lang w:val="en-US" w:eastAsia="zh-CN"/>
        </w:rPr>
        <w:t>九宫山</w:t>
      </w:r>
      <w:r>
        <w:rPr>
          <w:szCs w:val="32"/>
        </w:rPr>
        <w:t>镇财政所内设办公室、财务室、便民服务大厅。</w:t>
      </w:r>
      <w:r>
        <w:rPr>
          <w:rFonts w:hint="eastAsia"/>
          <w:szCs w:val="32"/>
          <w:lang w:val="en-US" w:eastAsia="zh-CN"/>
        </w:rPr>
        <w:t>2024年在职5人，退休10人，遗补3人。</w:t>
      </w:r>
    </w:p>
    <w:p>
      <w:pPr>
        <w:ind w:firstLine="640"/>
        <w:jc w:val="both"/>
        <w:rPr>
          <w:rFonts w:hint="eastAsia" w:ascii="仿宋_GB2312" w:hAnsi="仿宋_GB2312" w:eastAsia="仿宋_GB2312" w:cs="仿宋_GB2312"/>
          <w:sz w:val="32"/>
          <w:szCs w:val="32"/>
          <w:lang w:val="en-US" w:eastAsia="zh-CN"/>
        </w:rPr>
      </w:pPr>
    </w:p>
    <w:p>
      <w:pPr>
        <w:ind w:firstLine="640"/>
        <w:jc w:val="both"/>
        <w:rPr>
          <w:rFonts w:hint="default"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（单户表和单位决算填写内部机构设置情况。）</w:t>
      </w:r>
    </w:p>
    <w:p>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2024年度部门决算表</w:t>
      </w:r>
    </w:p>
    <w:p>
      <w:pPr>
        <w:adjustRightInd w:val="0"/>
        <w:snapToGrid w:val="0"/>
        <w:spacing w:line="580" w:lineRule="atLeast"/>
        <w:ind w:right="-781" w:rightChars="-244"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rPr>
                <w:lang w:val="en-US" w:eastAsia="zh-CN"/>
              </w:rPr>
            </w:pPr>
            <w:r>
              <w:rPr>
                <w:rFonts w:ascii="宋体" w:hAnsi="宋体" w:eastAsia="宋体" w:cs="宋体"/>
                <w:sz w:val="20"/>
                <w:lang w:val="en-US" w:eastAsia="zh-CN"/>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pPr>
              <w:jc w:val="left"/>
              <w:rPr>
                <w:lang w:val="en-US" w:eastAsia="zh-CN"/>
              </w:rPr>
            </w:pPr>
            <w:r>
              <w:rPr>
                <w:rFonts w:ascii="宋体" w:hAnsi="宋体" w:eastAsia="宋体" w:cs="宋体"/>
                <w:sz w:val="20"/>
                <w:lang w:val="en-US" w:eastAsia="zh-CN"/>
              </w:rPr>
              <w:t>单位：通山县九宫山镇财政所本级</w:t>
            </w:r>
          </w:p>
        </w:tc>
        <w:tc>
          <w:tcPr>
            <w:tcW w:w="2000" w:type="dxa"/>
            <w:tcBorders>
              <w:tl2br w:val="nil"/>
              <w:tr2bl w:val="nil"/>
            </w:tcBorders>
            <w:noWrap w:val="0"/>
            <w:vAlign w:val="top"/>
          </w:tcPr>
          <w:p>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pPr>
              <w:jc w:val="right"/>
              <w:rPr>
                <w:lang w:val="en-US" w:eastAsia="zh-CN"/>
              </w:rPr>
            </w:pPr>
            <w:r>
              <w:rPr>
                <w:rFonts w:ascii="宋体" w:hAnsi="宋体" w:eastAsia="宋体" w:cs="宋体"/>
                <w:sz w:val="20"/>
                <w:lang w:val="en-US" w:eastAsia="zh-CN"/>
              </w:rPr>
              <w:t>金额单位：万元</w:t>
            </w:r>
          </w:p>
        </w:tc>
      </w:tr>
    </w:tbl>
    <w:p>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480"/>
        <w:gridCol w:w="340"/>
        <w:gridCol w:w="1320"/>
        <w:gridCol w:w="2480"/>
        <w:gridCol w:w="340"/>
        <w:gridCol w:w="13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gridSpan w:val="3"/>
            <w:noWrap w:val="0"/>
            <w:vAlign w:val="center"/>
          </w:tcPr>
          <w:p>
            <w:pPr>
              <w:jc w:val="center"/>
              <w:rPr>
                <w:lang w:val="en-US" w:eastAsia="zh-CN"/>
              </w:rPr>
            </w:pPr>
            <w:r>
              <w:rPr>
                <w:rFonts w:ascii="宋体" w:hAnsi="宋体" w:eastAsia="宋体" w:cs="宋体"/>
                <w:b w:val="0"/>
                <w:i w:val="0"/>
                <w:color w:val="000000"/>
                <w:sz w:val="12"/>
                <w:lang w:val="en-US" w:eastAsia="zh-CN"/>
              </w:rPr>
              <w:t>收入</w:t>
            </w:r>
          </w:p>
        </w:tc>
        <w:tc>
          <w:tcPr>
            <w:tcW w:w="2480" w:type="dxa"/>
            <w:gridSpan w:val="3"/>
            <w:noWrap w:val="0"/>
            <w:vAlign w:val="center"/>
          </w:tcPr>
          <w:p>
            <w:pPr>
              <w:jc w:val="center"/>
              <w:rPr>
                <w:lang w:val="en-US" w:eastAsia="zh-CN"/>
              </w:rPr>
            </w:pPr>
            <w:r>
              <w:rPr>
                <w:rFonts w:ascii="宋体" w:hAnsi="宋体" w:eastAsia="宋体" w:cs="宋体"/>
                <w:b w:val="0"/>
                <w:i w:val="0"/>
                <w:color w:val="000000"/>
                <w:sz w:val="12"/>
                <w:lang w:val="en-US" w:eastAsia="zh-CN"/>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行次</w:t>
            </w:r>
          </w:p>
        </w:tc>
        <w:tc>
          <w:tcPr>
            <w:tcW w:w="132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金额</w:t>
            </w:r>
          </w:p>
        </w:tc>
        <w:tc>
          <w:tcPr>
            <w:tcW w:w="24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行次</w:t>
            </w:r>
          </w:p>
        </w:tc>
        <w:tc>
          <w:tcPr>
            <w:tcW w:w="1346"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pPr>
              <w:jc w:val="both"/>
              <w:rPr>
                <w:lang w:val="en-US" w:eastAsia="zh-CN"/>
              </w:rPr>
            </w:pPr>
          </w:p>
        </w:tc>
        <w:tc>
          <w:tcPr>
            <w:tcW w:w="132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1</w:t>
            </w:r>
          </w:p>
        </w:tc>
        <w:tc>
          <w:tcPr>
            <w:tcW w:w="24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pPr>
              <w:jc w:val="both"/>
              <w:rPr>
                <w:lang w:val="en-US" w:eastAsia="zh-CN"/>
              </w:rPr>
            </w:pPr>
          </w:p>
        </w:tc>
        <w:tc>
          <w:tcPr>
            <w:tcW w:w="1346"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一、一般公共预算财政拨款收入</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1</w:t>
            </w:r>
          </w:p>
        </w:tc>
        <w:tc>
          <w:tcPr>
            <w:tcW w:w="13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424.37</w:t>
            </w: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一、一般公共服务支出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31</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65.09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二、政府性基金预算财政拨款收入</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2</w:t>
            </w:r>
          </w:p>
        </w:tc>
        <w:tc>
          <w:tcPr>
            <w:tcW w:w="13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二、外交支出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32</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三、国有资本经营预算财政拨款收入</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3</w:t>
            </w:r>
          </w:p>
        </w:tc>
        <w:tc>
          <w:tcPr>
            <w:tcW w:w="13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三、国防支出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33</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四、上级补助收入</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4</w:t>
            </w:r>
          </w:p>
        </w:tc>
        <w:tc>
          <w:tcPr>
            <w:tcW w:w="13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四、公共安全支出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34</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五、事业收入</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5</w:t>
            </w:r>
          </w:p>
        </w:tc>
        <w:tc>
          <w:tcPr>
            <w:tcW w:w="13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五、教育支出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35</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六、经营收入</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6</w:t>
            </w:r>
          </w:p>
        </w:tc>
        <w:tc>
          <w:tcPr>
            <w:tcW w:w="13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六、科学技术支出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36</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七、附属单位上缴收入</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7</w:t>
            </w:r>
          </w:p>
        </w:tc>
        <w:tc>
          <w:tcPr>
            <w:tcW w:w="13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七、文化旅游体育与传媒支出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37</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八、其他收入</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8</w:t>
            </w:r>
          </w:p>
        </w:tc>
        <w:tc>
          <w:tcPr>
            <w:tcW w:w="13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八、社会保障和就业支出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38</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25.99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9</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九、卫生健康支出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39</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10</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十、节能环保支出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40</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11</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十一、城乡社区支出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41</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18.20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12</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十二、农林水支出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42</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308.26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13</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十三、交通运输支出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43</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14</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十四、资源勘探工业信息等支出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44</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15</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十五、商业服务业等支出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45</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16</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十六、金融支出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46</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17</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十七、援助其他地区支出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47</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18</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十八、自然资源海洋气象等支出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48</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19</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十九、住房保障支出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49</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5.34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20</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二十、粮油物资储备支出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50</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21</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二十一、国有资本经营预算支出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51</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22</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二十二、灾害防治及应急管理支出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52</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23</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二十三、其他支出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53</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24</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二十四、债务还本支出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54</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25</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二十五、债务付息支出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55</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26</w:t>
            </w:r>
          </w:p>
        </w:tc>
        <w:tc>
          <w:tcPr>
            <w:tcW w:w="1320" w:type="dxa"/>
            <w:tcBorders>
              <w:tl2br w:val="nil"/>
              <w:tr2bl w:val="nil"/>
            </w:tcBorders>
            <w:noWrap w:val="0"/>
            <w:vAlign w:val="center"/>
          </w:tcPr>
          <w:p>
            <w:pPr>
              <w:jc w:val="both"/>
              <w:rPr>
                <w:lang w:val="en-US" w:eastAsia="zh-CN"/>
              </w:rPr>
            </w:pP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二十六、抗疫特别国债安排的支出</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56</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center"/>
              <w:rPr>
                <w:lang w:val="en-US" w:eastAsia="zh-CN"/>
              </w:rPr>
            </w:pPr>
            <w:r>
              <w:rPr>
                <w:rFonts w:ascii="宋体" w:hAnsi="宋体" w:eastAsia="宋体" w:cs="宋体"/>
                <w:b/>
                <w:i w:val="0"/>
                <w:color w:val="000000"/>
                <w:sz w:val="12"/>
                <w:lang w:val="en-US" w:eastAsia="zh-CN"/>
              </w:rPr>
              <w:t>本年收入合计</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27</w:t>
            </w:r>
          </w:p>
        </w:tc>
        <w:tc>
          <w:tcPr>
            <w:tcW w:w="13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424.37</w:t>
            </w:r>
          </w:p>
        </w:tc>
        <w:tc>
          <w:tcPr>
            <w:tcW w:w="2480" w:type="dxa"/>
            <w:tcBorders>
              <w:tl2br w:val="nil"/>
              <w:tr2bl w:val="nil"/>
            </w:tcBorders>
            <w:noWrap w:val="0"/>
            <w:vAlign w:val="center"/>
          </w:tcPr>
          <w:p>
            <w:pPr>
              <w:jc w:val="center"/>
              <w:rPr>
                <w:lang w:val="en-US" w:eastAsia="zh-CN"/>
              </w:rPr>
            </w:pPr>
            <w:r>
              <w:rPr>
                <w:rFonts w:ascii="宋体" w:hAnsi="宋体" w:eastAsia="宋体" w:cs="宋体"/>
                <w:b/>
                <w:i w:val="0"/>
                <w:color w:val="000000"/>
                <w:sz w:val="12"/>
                <w:lang w:val="en-US" w:eastAsia="zh-CN"/>
              </w:rPr>
              <w:t>本年支出合计</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57</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424.37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使用非财政拨款结余（含专用结余）</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28</w:t>
            </w:r>
          </w:p>
        </w:tc>
        <w:tc>
          <w:tcPr>
            <w:tcW w:w="13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结余分配</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58</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年初结转和结余</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29</w:t>
            </w:r>
          </w:p>
        </w:tc>
        <w:tc>
          <w:tcPr>
            <w:tcW w:w="13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年末结转和结余</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59</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30</w:t>
            </w:r>
          </w:p>
        </w:tc>
        <w:tc>
          <w:tcPr>
            <w:tcW w:w="13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424.37</w:t>
            </w:r>
          </w:p>
        </w:tc>
        <w:tc>
          <w:tcPr>
            <w:tcW w:w="2480" w:type="dxa"/>
            <w:tcBorders>
              <w:tl2br w:val="nil"/>
              <w:tr2bl w:val="nil"/>
            </w:tcBorders>
            <w:noWrap w:val="0"/>
            <w:vAlign w:val="center"/>
          </w:tcPr>
          <w:p>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60</w:t>
            </w:r>
          </w:p>
        </w:tc>
        <w:tc>
          <w:tcPr>
            <w:tcW w:w="134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2"/>
                <w:lang w:val="en-US" w:eastAsia="zh-CN"/>
              </w:rPr>
              <w:t>424.37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gridSpan w:val="6"/>
            <w:tcBorders>
              <w:left w:val="single" w:color="FFFFFF" w:sz="4" w:space="0"/>
              <w:bottom w:val="single" w:color="FFFFFF" w:sz="4" w:space="0"/>
              <w:right w:val="single" w:color="FFFFFF" w:sz="4" w:space="0"/>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注：1.本表反映部门本年度的总收支和年末结转结余情况。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gridSpan w:val="6"/>
            <w:tcBorders>
              <w:top w:val="single" w:color="FFFFFF" w:sz="4" w:space="0"/>
              <w:left w:val="single" w:color="FFFFFF" w:sz="4" w:space="0"/>
              <w:bottom w:val="single" w:color="FFFFFF" w:sz="4" w:space="0"/>
              <w:right w:val="single" w:color="FFFFFF" w:sz="4" w:space="0"/>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 xml:space="preserve">    2.本套报表金额单位转换时可能存在尾数误差。</w:t>
            </w:r>
          </w:p>
        </w:tc>
      </w:tr>
    </w:tbl>
    <w:p>
      <w:pPr>
        <w:snapToGrid w:val="0"/>
        <w:spacing w:before="0" w:after="0" w:line="0" w:lineRule="auto"/>
        <w:jc w:val="both"/>
        <w:rPr>
          <w:lang w:val="en-US" w:eastAsia="zh-CN"/>
        </w:rPr>
      </w:pPr>
      <w:r>
        <w:rPr>
          <w:sz w:val="8"/>
          <w:lang w:val="en-US" w:eastAsia="zh-CN"/>
        </w:rPr>
        <w:t xml:space="preserve"> </w:t>
      </w:r>
    </w:p>
    <w:p>
      <w:pPr>
        <w:numPr>
          <w:ilvl w:val="0"/>
          <w:numId w:val="1"/>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收入决算表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rPr>
                <w:lang w:val="en-US" w:eastAsia="zh-CN"/>
              </w:rPr>
            </w:pPr>
            <w:r>
              <w:rPr>
                <w:rFonts w:ascii="宋体" w:hAnsi="宋体" w:eastAsia="宋体" w:cs="宋体"/>
                <w:sz w:val="20"/>
                <w:lang w:val="en-US" w:eastAsia="zh-CN"/>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pPr>
              <w:jc w:val="left"/>
              <w:rPr>
                <w:lang w:val="en-US" w:eastAsia="zh-CN"/>
              </w:rPr>
            </w:pPr>
            <w:r>
              <w:rPr>
                <w:rFonts w:ascii="宋体" w:hAnsi="宋体" w:eastAsia="宋体" w:cs="宋体"/>
                <w:sz w:val="20"/>
                <w:lang w:val="en-US" w:eastAsia="zh-CN"/>
              </w:rPr>
              <w:t>单位：通山县九宫山镇财政所本级</w:t>
            </w:r>
          </w:p>
        </w:tc>
        <w:tc>
          <w:tcPr>
            <w:tcW w:w="2000" w:type="dxa"/>
            <w:tcBorders>
              <w:tl2br w:val="nil"/>
              <w:tr2bl w:val="nil"/>
            </w:tcBorders>
            <w:noWrap w:val="0"/>
            <w:vAlign w:val="top"/>
          </w:tcPr>
          <w:p>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pPr>
              <w:jc w:val="right"/>
              <w:rPr>
                <w:lang w:val="en-US" w:eastAsia="zh-CN"/>
              </w:rPr>
            </w:pPr>
            <w:r>
              <w:rPr>
                <w:rFonts w:ascii="宋体" w:hAnsi="宋体" w:eastAsia="宋体" w:cs="宋体"/>
                <w:sz w:val="20"/>
                <w:lang w:val="en-US" w:eastAsia="zh-CN"/>
              </w:rPr>
              <w:t>金额单位：万元</w:t>
            </w:r>
          </w:p>
        </w:tc>
      </w:tr>
    </w:tbl>
    <w:p>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80"/>
        <w:gridCol w:w="1860"/>
        <w:gridCol w:w="860"/>
        <w:gridCol w:w="860"/>
        <w:gridCol w:w="860"/>
        <w:gridCol w:w="860"/>
        <w:gridCol w:w="860"/>
        <w:gridCol w:w="860"/>
        <w:gridCol w:w="8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gridSpan w:val="2"/>
            <w:noWrap w:val="0"/>
            <w:vAlign w:val="center"/>
          </w:tcPr>
          <w:p>
            <w:pPr>
              <w:jc w:val="center"/>
              <w:rPr>
                <w:lang w:val="en-US" w:eastAsia="zh-CN"/>
              </w:rPr>
            </w:pPr>
            <w:r>
              <w:rPr>
                <w:rFonts w:ascii="宋体" w:hAnsi="宋体" w:eastAsia="宋体" w:cs="宋体"/>
                <w:b w:val="0"/>
                <w:i w:val="0"/>
                <w:color w:val="000000"/>
                <w:sz w:val="10"/>
                <w:lang w:val="en-US" w:eastAsia="zh-CN"/>
              </w:rPr>
              <w:t>项目</w:t>
            </w:r>
          </w:p>
        </w:tc>
        <w:tc>
          <w:tcPr>
            <w:tcW w:w="860" w:type="dxa"/>
            <w:vMerge w:val="restart"/>
            <w:noWrap w:val="0"/>
            <w:vAlign w:val="center"/>
          </w:tcPr>
          <w:p>
            <w:pPr>
              <w:jc w:val="center"/>
              <w:rPr>
                <w:lang w:val="en-US" w:eastAsia="zh-CN"/>
              </w:rPr>
            </w:pPr>
            <w:r>
              <w:rPr>
                <w:rFonts w:ascii="宋体" w:hAnsi="宋体" w:eastAsia="宋体" w:cs="宋体"/>
                <w:b w:val="0"/>
                <w:i w:val="0"/>
                <w:color w:val="000000"/>
                <w:sz w:val="10"/>
                <w:lang w:val="en-US" w:eastAsia="zh-CN"/>
              </w:rPr>
              <w:t>本年收入合计</w:t>
            </w:r>
          </w:p>
        </w:tc>
        <w:tc>
          <w:tcPr>
            <w:tcW w:w="860" w:type="dxa"/>
            <w:vMerge w:val="restart"/>
            <w:noWrap w:val="0"/>
            <w:vAlign w:val="center"/>
          </w:tcPr>
          <w:p>
            <w:pPr>
              <w:jc w:val="center"/>
              <w:rPr>
                <w:lang w:val="en-US" w:eastAsia="zh-CN"/>
              </w:rPr>
            </w:pPr>
            <w:r>
              <w:rPr>
                <w:rFonts w:ascii="宋体" w:hAnsi="宋体" w:eastAsia="宋体" w:cs="宋体"/>
                <w:b w:val="0"/>
                <w:i w:val="0"/>
                <w:color w:val="000000"/>
                <w:sz w:val="10"/>
                <w:lang w:val="en-US" w:eastAsia="zh-CN"/>
              </w:rPr>
              <w:t>财政拨款收入</w:t>
            </w:r>
          </w:p>
        </w:tc>
        <w:tc>
          <w:tcPr>
            <w:tcW w:w="860" w:type="dxa"/>
            <w:vMerge w:val="restart"/>
            <w:noWrap w:val="0"/>
            <w:vAlign w:val="center"/>
          </w:tcPr>
          <w:p>
            <w:pPr>
              <w:jc w:val="center"/>
              <w:rPr>
                <w:lang w:val="en-US" w:eastAsia="zh-CN"/>
              </w:rPr>
            </w:pPr>
            <w:r>
              <w:rPr>
                <w:rFonts w:ascii="宋体" w:hAnsi="宋体" w:eastAsia="宋体" w:cs="宋体"/>
                <w:b w:val="0"/>
                <w:i w:val="0"/>
                <w:color w:val="000000"/>
                <w:sz w:val="10"/>
                <w:lang w:val="en-US" w:eastAsia="zh-CN"/>
              </w:rPr>
              <w:t>上级补助收入</w:t>
            </w:r>
          </w:p>
        </w:tc>
        <w:tc>
          <w:tcPr>
            <w:tcW w:w="860" w:type="dxa"/>
            <w:vMerge w:val="restart"/>
            <w:noWrap w:val="0"/>
            <w:vAlign w:val="center"/>
          </w:tcPr>
          <w:p>
            <w:pPr>
              <w:jc w:val="center"/>
              <w:rPr>
                <w:lang w:val="en-US" w:eastAsia="zh-CN"/>
              </w:rPr>
            </w:pPr>
            <w:r>
              <w:rPr>
                <w:rFonts w:ascii="宋体" w:hAnsi="宋体" w:eastAsia="宋体" w:cs="宋体"/>
                <w:b w:val="0"/>
                <w:i w:val="0"/>
                <w:color w:val="000000"/>
                <w:sz w:val="10"/>
                <w:lang w:val="en-US" w:eastAsia="zh-CN"/>
              </w:rPr>
              <w:t>事业收入</w:t>
            </w:r>
          </w:p>
        </w:tc>
        <w:tc>
          <w:tcPr>
            <w:tcW w:w="860" w:type="dxa"/>
            <w:vMerge w:val="restart"/>
            <w:noWrap w:val="0"/>
            <w:vAlign w:val="center"/>
          </w:tcPr>
          <w:p>
            <w:pPr>
              <w:jc w:val="center"/>
              <w:rPr>
                <w:lang w:val="en-US" w:eastAsia="zh-CN"/>
              </w:rPr>
            </w:pPr>
            <w:r>
              <w:rPr>
                <w:rFonts w:ascii="宋体" w:hAnsi="宋体" w:eastAsia="宋体" w:cs="宋体"/>
                <w:b w:val="0"/>
                <w:i w:val="0"/>
                <w:color w:val="000000"/>
                <w:sz w:val="10"/>
                <w:lang w:val="en-US" w:eastAsia="zh-CN"/>
              </w:rPr>
              <w:t>经营收入</w:t>
            </w:r>
          </w:p>
        </w:tc>
        <w:tc>
          <w:tcPr>
            <w:tcW w:w="860" w:type="dxa"/>
            <w:vMerge w:val="restart"/>
            <w:noWrap w:val="0"/>
            <w:vAlign w:val="center"/>
          </w:tcPr>
          <w:p>
            <w:pPr>
              <w:jc w:val="center"/>
              <w:rPr>
                <w:lang w:val="en-US" w:eastAsia="zh-CN"/>
              </w:rPr>
            </w:pPr>
            <w:r>
              <w:rPr>
                <w:rFonts w:ascii="宋体" w:hAnsi="宋体" w:eastAsia="宋体" w:cs="宋体"/>
                <w:b w:val="0"/>
                <w:i w:val="0"/>
                <w:color w:val="000000"/>
                <w:sz w:val="10"/>
                <w:lang w:val="en-US" w:eastAsia="zh-CN"/>
              </w:rPr>
              <w:t>附属单位上缴收入</w:t>
            </w:r>
          </w:p>
        </w:tc>
        <w:tc>
          <w:tcPr>
            <w:tcW w:w="806" w:type="dxa"/>
            <w:vMerge w:val="restart"/>
            <w:noWrap w:val="0"/>
            <w:vAlign w:val="center"/>
          </w:tcPr>
          <w:p>
            <w:pPr>
              <w:jc w:val="center"/>
              <w:rPr>
                <w:lang w:val="en-US" w:eastAsia="zh-CN"/>
              </w:rPr>
            </w:pPr>
            <w:r>
              <w:rPr>
                <w:rFonts w:ascii="宋体" w:hAnsi="宋体" w:eastAsia="宋体" w:cs="宋体"/>
                <w:b w:val="0"/>
                <w:i w:val="0"/>
                <w:color w:val="000000"/>
                <w:sz w:val="10"/>
                <w:lang w:val="en-US" w:eastAsia="zh-CN"/>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16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科目代码</w:t>
            </w:r>
          </w:p>
        </w:tc>
        <w:tc>
          <w:tcPr>
            <w:tcW w:w="186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科目名称</w:t>
            </w: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0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160" w:type="dxa"/>
            <w:vMerge w:val="continue"/>
            <w:tcBorders>
              <w:tl2br w:val="nil"/>
              <w:tr2bl w:val="nil"/>
            </w:tcBorders>
            <w:noWrap w:val="0"/>
            <w:vAlign w:val="center"/>
          </w:tcPr>
          <w:p>
            <w:pPr>
              <w:jc w:val="both"/>
              <w:rPr>
                <w:lang w:val="en-US" w:eastAsia="zh-CN"/>
              </w:rPr>
            </w:pPr>
          </w:p>
        </w:tc>
        <w:tc>
          <w:tcPr>
            <w:tcW w:w="1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0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160" w:type="dxa"/>
            <w:vMerge w:val="continue"/>
            <w:tcBorders>
              <w:tl2br w:val="nil"/>
              <w:tr2bl w:val="nil"/>
            </w:tcBorders>
            <w:noWrap w:val="0"/>
            <w:vAlign w:val="center"/>
          </w:tcPr>
          <w:p>
            <w:pPr>
              <w:jc w:val="both"/>
              <w:rPr>
                <w:lang w:val="en-US" w:eastAsia="zh-CN"/>
              </w:rPr>
            </w:pPr>
          </w:p>
        </w:tc>
        <w:tc>
          <w:tcPr>
            <w:tcW w:w="1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60" w:type="dxa"/>
            <w:vMerge w:val="continue"/>
            <w:tcBorders>
              <w:tl2br w:val="nil"/>
              <w:tr2bl w:val="nil"/>
            </w:tcBorders>
            <w:noWrap w:val="0"/>
            <w:vAlign w:val="center"/>
          </w:tcPr>
          <w:p>
            <w:pPr>
              <w:jc w:val="both"/>
              <w:rPr>
                <w:lang w:val="en-US" w:eastAsia="zh-CN"/>
              </w:rPr>
            </w:pPr>
          </w:p>
        </w:tc>
        <w:tc>
          <w:tcPr>
            <w:tcW w:w="80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gridSpan w:val="2"/>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栏次</w:t>
            </w:r>
          </w:p>
        </w:tc>
        <w:tc>
          <w:tcPr>
            <w:tcW w:w="86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1</w:t>
            </w:r>
          </w:p>
        </w:tc>
        <w:tc>
          <w:tcPr>
            <w:tcW w:w="86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2</w:t>
            </w:r>
          </w:p>
        </w:tc>
        <w:tc>
          <w:tcPr>
            <w:tcW w:w="86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3</w:t>
            </w:r>
          </w:p>
        </w:tc>
        <w:tc>
          <w:tcPr>
            <w:tcW w:w="86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4</w:t>
            </w:r>
          </w:p>
        </w:tc>
        <w:tc>
          <w:tcPr>
            <w:tcW w:w="86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5</w:t>
            </w:r>
          </w:p>
        </w:tc>
        <w:tc>
          <w:tcPr>
            <w:tcW w:w="86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6</w:t>
            </w:r>
          </w:p>
        </w:tc>
        <w:tc>
          <w:tcPr>
            <w:tcW w:w="806"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gridSpan w:val="2"/>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合计</w:t>
            </w:r>
          </w:p>
        </w:tc>
        <w:tc>
          <w:tcPr>
            <w:tcW w:w="860" w:type="dxa"/>
            <w:tcBorders>
              <w:tl2br w:val="nil"/>
              <w:tr2bl w:val="nil"/>
            </w:tcBorders>
            <w:noWrap w:val="0"/>
            <w:vAlign w:val="center"/>
          </w:tcPr>
          <w:p>
            <w:pPr>
              <w:jc w:val="right"/>
              <w:rPr>
                <w:lang w:val="en-US" w:eastAsia="zh-CN"/>
              </w:rPr>
            </w:pPr>
            <w:r>
              <w:rPr>
                <w:rFonts w:ascii="宋体" w:hAnsi="宋体" w:eastAsia="宋体" w:cs="宋体"/>
                <w:b/>
                <w:i w:val="0"/>
                <w:color w:val="000000"/>
                <w:sz w:val="10"/>
                <w:lang w:val="en-US" w:eastAsia="zh-CN"/>
              </w:rPr>
              <w:t>424.37</w:t>
            </w:r>
          </w:p>
        </w:tc>
        <w:tc>
          <w:tcPr>
            <w:tcW w:w="860" w:type="dxa"/>
            <w:tcBorders>
              <w:tl2br w:val="nil"/>
              <w:tr2bl w:val="nil"/>
            </w:tcBorders>
            <w:noWrap w:val="0"/>
            <w:vAlign w:val="center"/>
          </w:tcPr>
          <w:p>
            <w:pPr>
              <w:jc w:val="right"/>
              <w:rPr>
                <w:lang w:val="en-US" w:eastAsia="zh-CN"/>
              </w:rPr>
            </w:pPr>
            <w:r>
              <w:rPr>
                <w:rFonts w:ascii="宋体" w:hAnsi="宋体" w:eastAsia="宋体" w:cs="宋体"/>
                <w:b/>
                <w:i w:val="0"/>
                <w:color w:val="000000"/>
                <w:sz w:val="10"/>
                <w:lang w:val="en-US" w:eastAsia="zh-CN"/>
              </w:rPr>
              <w:t>424.37</w:t>
            </w:r>
          </w:p>
        </w:tc>
        <w:tc>
          <w:tcPr>
            <w:tcW w:w="860" w:type="dxa"/>
            <w:tcBorders>
              <w:tl2br w:val="nil"/>
              <w:tr2bl w:val="nil"/>
            </w:tcBorders>
            <w:noWrap w:val="0"/>
            <w:vAlign w:val="center"/>
          </w:tcPr>
          <w:p>
            <w:pPr>
              <w:jc w:val="right"/>
              <w:rPr>
                <w:lang w:val="en-US" w:eastAsia="zh-CN"/>
              </w:rPr>
            </w:pPr>
            <w:r>
              <w:rPr>
                <w:rFonts w:ascii="宋体" w:hAnsi="宋体" w:eastAsia="宋体" w:cs="宋体"/>
                <w:b/>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201</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一般公共服务支出</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65.09</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65.09</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20106</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财政事务</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65.09</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65.09</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2010650</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事业运行</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65.09</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65.09</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208</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社会保障和就业支出</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25.98</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25.98</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20805</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行政事业单位养老支出</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25.90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25.90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2080502</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事业单位离退休</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12.06</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12.06</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2080505</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机关事业单位基本养老保险缴费支出</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6.23</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6.23</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2080506</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机关事业单位职业年金缴费支出</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7.61</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7.61</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20899</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其他社会保障和就业支出</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0.08</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0.08</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2089999</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其他社会保障和就业支出</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0.08</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0.08</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210</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卫生健康支出</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1.50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1.50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21011</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行政事业单位医疗</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1.50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1.50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2101102</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事业单位医疗</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1.50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1.50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212</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城乡社区支出</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18.20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18.20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21202</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城乡社区规划与管理</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18.20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18.20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2120201</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城乡社区规划与管理</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18.20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18.20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213</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农林水支出</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308.25</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308.25</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21301</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农业农村</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74.65</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74.65</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2130126</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农村社会事业</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74.65</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74.65</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21307</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农村综合改革</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233.60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233.60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2130701</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对村级公益事业建设的补助</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25.00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25.00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2130705</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对村民委员会和村党支部的补助</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208.60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208.60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221</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住房保障支出</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5.34</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5.34</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22102</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住房改革支出</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5.34</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5.34</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7" w:hRule="exact"/>
          <w:jc w:val="center"/>
        </w:trPr>
        <w:tc>
          <w:tcPr>
            <w:tcW w:w="1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2210201</w:t>
            </w:r>
          </w:p>
        </w:tc>
        <w:tc>
          <w:tcPr>
            <w:tcW w:w="18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住房公积金</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5.34</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5.34</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160" w:type="dxa"/>
            <w:gridSpan w:val="9"/>
            <w:tcBorders>
              <w:left w:val="single" w:color="FFFFFF" w:sz="4" w:space="0"/>
              <w:bottom w:val="single" w:color="FFFFFF" w:sz="4" w:space="0"/>
              <w:right w:val="single" w:color="FFFFFF" w:sz="4" w:space="0"/>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注：本表反映部门本年度取得的各项收入情况。</w:t>
            </w:r>
          </w:p>
        </w:tc>
      </w:tr>
    </w:tbl>
    <w:p>
      <w:pPr>
        <w:snapToGrid w:val="0"/>
        <w:spacing w:before="0" w:after="0" w:line="0" w:lineRule="auto"/>
        <w:jc w:val="both"/>
        <w:rPr>
          <w:lang w:val="en-US" w:eastAsia="zh-CN"/>
        </w:rPr>
      </w:pPr>
      <w:r>
        <w:rPr>
          <w:sz w:val="8"/>
          <w:lang w:val="en-US" w:eastAsia="zh-CN"/>
        </w:rPr>
        <w:t xml:space="preserve"> </w:t>
      </w:r>
    </w:p>
    <w:p>
      <w:pPr>
        <w:numPr>
          <w:ilvl w:val="0"/>
          <w:numId w:val="1"/>
        </w:numPr>
        <w:adjustRightInd w:val="0"/>
        <w:snapToGrid w:val="0"/>
        <w:spacing w:line="580" w:lineRule="atLeast"/>
        <w:ind w:left="0" w:leftChars="0" w:right="-781" w:rightChars="-244" w:firstLine="640" w:firstLineChars="200"/>
        <w:jc w:val="left"/>
        <w:rPr>
          <w:rFonts w:hint="eastAsia" w:ascii="黑体" w:hAnsi="黑体" w:eastAsia="黑体" w:cs="黑体"/>
          <w:bCs/>
          <w:szCs w:val="32"/>
          <w:lang w:val="en-US" w:eastAsia="zh-CN"/>
        </w:rPr>
      </w:pPr>
      <w:r>
        <w:rPr>
          <w:rFonts w:hint="eastAsia" w:ascii="黑体" w:hAnsi="黑体" w:eastAsia="黑体" w:cs="黑体"/>
          <w:bCs/>
          <w:sz w:val="32"/>
          <w:szCs w:val="32"/>
          <w:highlight w:val="none"/>
          <w:lang w:val="en-US" w:eastAsia="zh-CN"/>
        </w:rPr>
        <w:t>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rPr>
                <w:lang w:val="en-US" w:eastAsia="zh-CN"/>
              </w:rPr>
            </w:pPr>
            <w:r>
              <w:rPr>
                <w:rFonts w:ascii="宋体" w:hAnsi="宋体" w:eastAsia="宋体" w:cs="宋体"/>
                <w:sz w:val="20"/>
                <w:lang w:val="en-US" w:eastAsia="zh-CN"/>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pPr>
              <w:jc w:val="left"/>
              <w:rPr>
                <w:lang w:val="en-US" w:eastAsia="zh-CN"/>
              </w:rPr>
            </w:pPr>
            <w:r>
              <w:rPr>
                <w:rFonts w:ascii="宋体" w:hAnsi="宋体" w:eastAsia="宋体" w:cs="宋体"/>
                <w:sz w:val="20"/>
                <w:lang w:val="en-US" w:eastAsia="zh-CN"/>
              </w:rPr>
              <w:t>单位：通山县九宫山镇财政所本级</w:t>
            </w:r>
          </w:p>
        </w:tc>
        <w:tc>
          <w:tcPr>
            <w:tcW w:w="2000" w:type="dxa"/>
            <w:tcBorders>
              <w:tl2br w:val="nil"/>
              <w:tr2bl w:val="nil"/>
            </w:tcBorders>
            <w:noWrap w:val="0"/>
            <w:vAlign w:val="top"/>
          </w:tcPr>
          <w:p>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pPr>
              <w:jc w:val="right"/>
              <w:rPr>
                <w:lang w:val="en-US" w:eastAsia="zh-CN"/>
              </w:rPr>
            </w:pPr>
            <w:r>
              <w:rPr>
                <w:rFonts w:ascii="宋体" w:hAnsi="宋体" w:eastAsia="宋体" w:cs="宋体"/>
                <w:sz w:val="20"/>
                <w:lang w:val="en-US" w:eastAsia="zh-CN"/>
              </w:rPr>
              <w:t>金额单位：万元</w:t>
            </w:r>
          </w:p>
        </w:tc>
      </w:tr>
    </w:tbl>
    <w:p>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40"/>
        <w:gridCol w:w="2080"/>
        <w:gridCol w:w="960"/>
        <w:gridCol w:w="960"/>
        <w:gridCol w:w="960"/>
        <w:gridCol w:w="960"/>
        <w:gridCol w:w="960"/>
        <w:gridCol w:w="8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gridSpan w:val="2"/>
            <w:noWrap w:val="0"/>
            <w:vAlign w:val="center"/>
          </w:tcPr>
          <w:p>
            <w:pPr>
              <w:jc w:val="center"/>
              <w:rPr>
                <w:lang w:val="en-US" w:eastAsia="zh-CN"/>
              </w:rPr>
            </w:pPr>
            <w:r>
              <w:rPr>
                <w:rFonts w:ascii="宋体" w:hAnsi="宋体" w:eastAsia="宋体" w:cs="宋体"/>
                <w:b w:val="0"/>
                <w:i w:val="0"/>
                <w:color w:val="000000"/>
                <w:sz w:val="11"/>
                <w:lang w:val="en-US" w:eastAsia="zh-CN"/>
              </w:rPr>
              <w:t>项目</w:t>
            </w:r>
          </w:p>
        </w:tc>
        <w:tc>
          <w:tcPr>
            <w:tcW w:w="960" w:type="dxa"/>
            <w:vMerge w:val="restart"/>
            <w:noWrap w:val="0"/>
            <w:vAlign w:val="center"/>
          </w:tcPr>
          <w:p>
            <w:pPr>
              <w:jc w:val="center"/>
              <w:rPr>
                <w:lang w:val="en-US" w:eastAsia="zh-CN"/>
              </w:rPr>
            </w:pPr>
            <w:r>
              <w:rPr>
                <w:rFonts w:ascii="宋体" w:hAnsi="宋体" w:eastAsia="宋体" w:cs="宋体"/>
                <w:b w:val="0"/>
                <w:i w:val="0"/>
                <w:color w:val="000000"/>
                <w:sz w:val="11"/>
                <w:lang w:val="en-US" w:eastAsia="zh-CN"/>
              </w:rPr>
              <w:t>本年支出合计</w:t>
            </w:r>
          </w:p>
        </w:tc>
        <w:tc>
          <w:tcPr>
            <w:tcW w:w="960" w:type="dxa"/>
            <w:vMerge w:val="restart"/>
            <w:noWrap w:val="0"/>
            <w:vAlign w:val="center"/>
          </w:tcPr>
          <w:p>
            <w:pPr>
              <w:jc w:val="center"/>
              <w:rPr>
                <w:lang w:val="en-US" w:eastAsia="zh-CN"/>
              </w:rPr>
            </w:pPr>
            <w:r>
              <w:rPr>
                <w:rFonts w:ascii="宋体" w:hAnsi="宋体" w:eastAsia="宋体" w:cs="宋体"/>
                <w:b w:val="0"/>
                <w:i w:val="0"/>
                <w:color w:val="000000"/>
                <w:sz w:val="11"/>
                <w:lang w:val="en-US" w:eastAsia="zh-CN"/>
              </w:rPr>
              <w:t>基本支出</w:t>
            </w:r>
          </w:p>
        </w:tc>
        <w:tc>
          <w:tcPr>
            <w:tcW w:w="960" w:type="dxa"/>
            <w:vMerge w:val="restart"/>
            <w:noWrap w:val="0"/>
            <w:vAlign w:val="center"/>
          </w:tcPr>
          <w:p>
            <w:pPr>
              <w:jc w:val="center"/>
              <w:rPr>
                <w:lang w:val="en-US" w:eastAsia="zh-CN"/>
              </w:rPr>
            </w:pPr>
            <w:r>
              <w:rPr>
                <w:rFonts w:ascii="宋体" w:hAnsi="宋体" w:eastAsia="宋体" w:cs="宋体"/>
                <w:b w:val="0"/>
                <w:i w:val="0"/>
                <w:color w:val="000000"/>
                <w:sz w:val="11"/>
                <w:lang w:val="en-US" w:eastAsia="zh-CN"/>
              </w:rPr>
              <w:t>项目支出</w:t>
            </w:r>
          </w:p>
        </w:tc>
        <w:tc>
          <w:tcPr>
            <w:tcW w:w="960" w:type="dxa"/>
            <w:vMerge w:val="restart"/>
            <w:noWrap w:val="0"/>
            <w:vAlign w:val="center"/>
          </w:tcPr>
          <w:p>
            <w:pPr>
              <w:jc w:val="center"/>
              <w:rPr>
                <w:lang w:val="en-US" w:eastAsia="zh-CN"/>
              </w:rPr>
            </w:pPr>
            <w:r>
              <w:rPr>
                <w:rFonts w:ascii="宋体" w:hAnsi="宋体" w:eastAsia="宋体" w:cs="宋体"/>
                <w:b w:val="0"/>
                <w:i w:val="0"/>
                <w:color w:val="000000"/>
                <w:sz w:val="11"/>
                <w:lang w:val="en-US" w:eastAsia="zh-CN"/>
              </w:rPr>
              <w:t>上缴上级支出</w:t>
            </w:r>
          </w:p>
        </w:tc>
        <w:tc>
          <w:tcPr>
            <w:tcW w:w="960" w:type="dxa"/>
            <w:vMerge w:val="restart"/>
            <w:noWrap w:val="0"/>
            <w:vAlign w:val="center"/>
          </w:tcPr>
          <w:p>
            <w:pPr>
              <w:jc w:val="center"/>
              <w:rPr>
                <w:lang w:val="en-US" w:eastAsia="zh-CN"/>
              </w:rPr>
            </w:pPr>
            <w:r>
              <w:rPr>
                <w:rFonts w:ascii="宋体" w:hAnsi="宋体" w:eastAsia="宋体" w:cs="宋体"/>
                <w:b w:val="0"/>
                <w:i w:val="0"/>
                <w:color w:val="000000"/>
                <w:sz w:val="11"/>
                <w:lang w:val="en-US" w:eastAsia="zh-CN"/>
              </w:rPr>
              <w:t>经营支出</w:t>
            </w:r>
          </w:p>
        </w:tc>
        <w:tc>
          <w:tcPr>
            <w:tcW w:w="886" w:type="dxa"/>
            <w:vMerge w:val="restart"/>
            <w:noWrap w:val="0"/>
            <w:vAlign w:val="center"/>
          </w:tcPr>
          <w:p>
            <w:pPr>
              <w:jc w:val="center"/>
              <w:rPr>
                <w:lang w:val="en-US" w:eastAsia="zh-CN"/>
              </w:rPr>
            </w:pPr>
            <w:r>
              <w:rPr>
                <w:rFonts w:ascii="宋体" w:hAnsi="宋体" w:eastAsia="宋体" w:cs="宋体"/>
                <w:b w:val="0"/>
                <w:i w:val="0"/>
                <w:color w:val="000000"/>
                <w:sz w:val="11"/>
                <w:lang w:val="en-US" w:eastAsia="zh-CN"/>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科目代码</w:t>
            </w:r>
          </w:p>
        </w:tc>
        <w:tc>
          <w:tcPr>
            <w:tcW w:w="208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科目名称</w:t>
            </w:r>
          </w:p>
        </w:tc>
        <w:tc>
          <w:tcPr>
            <w:tcW w:w="960" w:type="dxa"/>
            <w:vMerge w:val="continue"/>
            <w:tcBorders>
              <w:tl2br w:val="nil"/>
              <w:tr2bl w:val="nil"/>
            </w:tcBorders>
            <w:noWrap w:val="0"/>
            <w:vAlign w:val="center"/>
          </w:tcPr>
          <w:p>
            <w:pPr>
              <w:jc w:val="both"/>
              <w:rPr>
                <w:lang w:val="en-US" w:eastAsia="zh-CN"/>
              </w:rPr>
            </w:pPr>
          </w:p>
        </w:tc>
        <w:tc>
          <w:tcPr>
            <w:tcW w:w="960" w:type="dxa"/>
            <w:vMerge w:val="continue"/>
            <w:tcBorders>
              <w:tl2br w:val="nil"/>
              <w:tr2bl w:val="nil"/>
            </w:tcBorders>
            <w:noWrap w:val="0"/>
            <w:vAlign w:val="center"/>
          </w:tcPr>
          <w:p>
            <w:pPr>
              <w:jc w:val="both"/>
              <w:rPr>
                <w:lang w:val="en-US" w:eastAsia="zh-CN"/>
              </w:rPr>
            </w:pPr>
          </w:p>
        </w:tc>
        <w:tc>
          <w:tcPr>
            <w:tcW w:w="960" w:type="dxa"/>
            <w:vMerge w:val="continue"/>
            <w:tcBorders>
              <w:tl2br w:val="nil"/>
              <w:tr2bl w:val="nil"/>
            </w:tcBorders>
            <w:noWrap w:val="0"/>
            <w:vAlign w:val="center"/>
          </w:tcPr>
          <w:p>
            <w:pPr>
              <w:jc w:val="both"/>
              <w:rPr>
                <w:lang w:val="en-US" w:eastAsia="zh-CN"/>
              </w:rPr>
            </w:pPr>
          </w:p>
        </w:tc>
        <w:tc>
          <w:tcPr>
            <w:tcW w:w="960" w:type="dxa"/>
            <w:vMerge w:val="continue"/>
            <w:tcBorders>
              <w:tl2br w:val="nil"/>
              <w:tr2bl w:val="nil"/>
            </w:tcBorders>
            <w:noWrap w:val="0"/>
            <w:vAlign w:val="center"/>
          </w:tcPr>
          <w:p>
            <w:pPr>
              <w:jc w:val="both"/>
              <w:rPr>
                <w:lang w:val="en-US" w:eastAsia="zh-CN"/>
              </w:rPr>
            </w:pPr>
          </w:p>
        </w:tc>
        <w:tc>
          <w:tcPr>
            <w:tcW w:w="960" w:type="dxa"/>
            <w:vMerge w:val="continue"/>
            <w:tcBorders>
              <w:tl2br w:val="nil"/>
              <w:tr2bl w:val="nil"/>
            </w:tcBorders>
            <w:noWrap w:val="0"/>
            <w:vAlign w:val="center"/>
          </w:tcPr>
          <w:p>
            <w:pPr>
              <w:jc w:val="both"/>
              <w:rPr>
                <w:lang w:val="en-US" w:eastAsia="zh-CN"/>
              </w:rPr>
            </w:pPr>
          </w:p>
        </w:tc>
        <w:tc>
          <w:tcPr>
            <w:tcW w:w="88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vMerge w:val="continue"/>
            <w:tcBorders>
              <w:tl2br w:val="nil"/>
              <w:tr2bl w:val="nil"/>
            </w:tcBorders>
            <w:noWrap w:val="0"/>
            <w:vAlign w:val="center"/>
          </w:tcPr>
          <w:p>
            <w:pPr>
              <w:jc w:val="both"/>
              <w:rPr>
                <w:lang w:val="en-US" w:eastAsia="zh-CN"/>
              </w:rPr>
            </w:pPr>
          </w:p>
        </w:tc>
        <w:tc>
          <w:tcPr>
            <w:tcW w:w="2080" w:type="dxa"/>
            <w:vMerge w:val="continue"/>
            <w:tcBorders>
              <w:tl2br w:val="nil"/>
              <w:tr2bl w:val="nil"/>
            </w:tcBorders>
            <w:noWrap w:val="0"/>
            <w:vAlign w:val="center"/>
          </w:tcPr>
          <w:p>
            <w:pPr>
              <w:jc w:val="both"/>
              <w:rPr>
                <w:lang w:val="en-US" w:eastAsia="zh-CN"/>
              </w:rPr>
            </w:pPr>
          </w:p>
        </w:tc>
        <w:tc>
          <w:tcPr>
            <w:tcW w:w="960" w:type="dxa"/>
            <w:vMerge w:val="continue"/>
            <w:tcBorders>
              <w:tl2br w:val="nil"/>
              <w:tr2bl w:val="nil"/>
            </w:tcBorders>
            <w:noWrap w:val="0"/>
            <w:vAlign w:val="center"/>
          </w:tcPr>
          <w:p>
            <w:pPr>
              <w:jc w:val="both"/>
              <w:rPr>
                <w:lang w:val="en-US" w:eastAsia="zh-CN"/>
              </w:rPr>
            </w:pPr>
          </w:p>
        </w:tc>
        <w:tc>
          <w:tcPr>
            <w:tcW w:w="960" w:type="dxa"/>
            <w:vMerge w:val="continue"/>
            <w:tcBorders>
              <w:tl2br w:val="nil"/>
              <w:tr2bl w:val="nil"/>
            </w:tcBorders>
            <w:noWrap w:val="0"/>
            <w:vAlign w:val="center"/>
          </w:tcPr>
          <w:p>
            <w:pPr>
              <w:jc w:val="both"/>
              <w:rPr>
                <w:lang w:val="en-US" w:eastAsia="zh-CN"/>
              </w:rPr>
            </w:pPr>
          </w:p>
        </w:tc>
        <w:tc>
          <w:tcPr>
            <w:tcW w:w="960" w:type="dxa"/>
            <w:vMerge w:val="continue"/>
            <w:tcBorders>
              <w:tl2br w:val="nil"/>
              <w:tr2bl w:val="nil"/>
            </w:tcBorders>
            <w:noWrap w:val="0"/>
            <w:vAlign w:val="center"/>
          </w:tcPr>
          <w:p>
            <w:pPr>
              <w:jc w:val="both"/>
              <w:rPr>
                <w:lang w:val="en-US" w:eastAsia="zh-CN"/>
              </w:rPr>
            </w:pPr>
          </w:p>
        </w:tc>
        <w:tc>
          <w:tcPr>
            <w:tcW w:w="960" w:type="dxa"/>
            <w:vMerge w:val="continue"/>
            <w:tcBorders>
              <w:tl2br w:val="nil"/>
              <w:tr2bl w:val="nil"/>
            </w:tcBorders>
            <w:noWrap w:val="0"/>
            <w:vAlign w:val="center"/>
          </w:tcPr>
          <w:p>
            <w:pPr>
              <w:jc w:val="both"/>
              <w:rPr>
                <w:lang w:val="en-US" w:eastAsia="zh-CN"/>
              </w:rPr>
            </w:pPr>
          </w:p>
        </w:tc>
        <w:tc>
          <w:tcPr>
            <w:tcW w:w="960" w:type="dxa"/>
            <w:vMerge w:val="continue"/>
            <w:tcBorders>
              <w:tl2br w:val="nil"/>
              <w:tr2bl w:val="nil"/>
            </w:tcBorders>
            <w:noWrap w:val="0"/>
            <w:vAlign w:val="center"/>
          </w:tcPr>
          <w:p>
            <w:pPr>
              <w:jc w:val="both"/>
              <w:rPr>
                <w:lang w:val="en-US" w:eastAsia="zh-CN"/>
              </w:rPr>
            </w:pPr>
          </w:p>
        </w:tc>
        <w:tc>
          <w:tcPr>
            <w:tcW w:w="88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vMerge w:val="continue"/>
            <w:tcBorders>
              <w:tl2br w:val="nil"/>
              <w:tr2bl w:val="nil"/>
            </w:tcBorders>
            <w:noWrap w:val="0"/>
            <w:vAlign w:val="center"/>
          </w:tcPr>
          <w:p>
            <w:pPr>
              <w:jc w:val="both"/>
              <w:rPr>
                <w:lang w:val="en-US" w:eastAsia="zh-CN"/>
              </w:rPr>
            </w:pPr>
          </w:p>
        </w:tc>
        <w:tc>
          <w:tcPr>
            <w:tcW w:w="2080" w:type="dxa"/>
            <w:vMerge w:val="continue"/>
            <w:tcBorders>
              <w:tl2br w:val="nil"/>
              <w:tr2bl w:val="nil"/>
            </w:tcBorders>
            <w:noWrap w:val="0"/>
            <w:vAlign w:val="center"/>
          </w:tcPr>
          <w:p>
            <w:pPr>
              <w:jc w:val="both"/>
              <w:rPr>
                <w:lang w:val="en-US" w:eastAsia="zh-CN"/>
              </w:rPr>
            </w:pPr>
          </w:p>
        </w:tc>
        <w:tc>
          <w:tcPr>
            <w:tcW w:w="960" w:type="dxa"/>
            <w:vMerge w:val="continue"/>
            <w:tcBorders>
              <w:tl2br w:val="nil"/>
              <w:tr2bl w:val="nil"/>
            </w:tcBorders>
            <w:noWrap w:val="0"/>
            <w:vAlign w:val="center"/>
          </w:tcPr>
          <w:p>
            <w:pPr>
              <w:jc w:val="both"/>
              <w:rPr>
                <w:lang w:val="en-US" w:eastAsia="zh-CN"/>
              </w:rPr>
            </w:pPr>
          </w:p>
        </w:tc>
        <w:tc>
          <w:tcPr>
            <w:tcW w:w="960" w:type="dxa"/>
            <w:vMerge w:val="continue"/>
            <w:tcBorders>
              <w:tl2br w:val="nil"/>
              <w:tr2bl w:val="nil"/>
            </w:tcBorders>
            <w:noWrap w:val="0"/>
            <w:vAlign w:val="center"/>
          </w:tcPr>
          <w:p>
            <w:pPr>
              <w:jc w:val="both"/>
              <w:rPr>
                <w:lang w:val="en-US" w:eastAsia="zh-CN"/>
              </w:rPr>
            </w:pPr>
          </w:p>
        </w:tc>
        <w:tc>
          <w:tcPr>
            <w:tcW w:w="960" w:type="dxa"/>
            <w:vMerge w:val="continue"/>
            <w:tcBorders>
              <w:tl2br w:val="nil"/>
              <w:tr2bl w:val="nil"/>
            </w:tcBorders>
            <w:noWrap w:val="0"/>
            <w:vAlign w:val="center"/>
          </w:tcPr>
          <w:p>
            <w:pPr>
              <w:jc w:val="both"/>
              <w:rPr>
                <w:lang w:val="en-US" w:eastAsia="zh-CN"/>
              </w:rPr>
            </w:pPr>
          </w:p>
        </w:tc>
        <w:tc>
          <w:tcPr>
            <w:tcW w:w="960" w:type="dxa"/>
            <w:vMerge w:val="continue"/>
            <w:tcBorders>
              <w:tl2br w:val="nil"/>
              <w:tr2bl w:val="nil"/>
            </w:tcBorders>
            <w:noWrap w:val="0"/>
            <w:vAlign w:val="center"/>
          </w:tcPr>
          <w:p>
            <w:pPr>
              <w:jc w:val="both"/>
              <w:rPr>
                <w:lang w:val="en-US" w:eastAsia="zh-CN"/>
              </w:rPr>
            </w:pPr>
          </w:p>
        </w:tc>
        <w:tc>
          <w:tcPr>
            <w:tcW w:w="960" w:type="dxa"/>
            <w:vMerge w:val="continue"/>
            <w:tcBorders>
              <w:tl2br w:val="nil"/>
              <w:tr2bl w:val="nil"/>
            </w:tcBorders>
            <w:noWrap w:val="0"/>
            <w:vAlign w:val="center"/>
          </w:tcPr>
          <w:p>
            <w:pPr>
              <w:jc w:val="both"/>
              <w:rPr>
                <w:lang w:val="en-US" w:eastAsia="zh-CN"/>
              </w:rPr>
            </w:pPr>
          </w:p>
        </w:tc>
        <w:tc>
          <w:tcPr>
            <w:tcW w:w="88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gridSpan w:val="2"/>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栏次</w:t>
            </w:r>
          </w:p>
        </w:tc>
        <w:tc>
          <w:tcPr>
            <w:tcW w:w="96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1</w:t>
            </w:r>
          </w:p>
        </w:tc>
        <w:tc>
          <w:tcPr>
            <w:tcW w:w="96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2</w:t>
            </w:r>
          </w:p>
        </w:tc>
        <w:tc>
          <w:tcPr>
            <w:tcW w:w="96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3</w:t>
            </w:r>
          </w:p>
        </w:tc>
        <w:tc>
          <w:tcPr>
            <w:tcW w:w="96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4</w:t>
            </w:r>
          </w:p>
        </w:tc>
        <w:tc>
          <w:tcPr>
            <w:tcW w:w="96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5</w:t>
            </w:r>
          </w:p>
        </w:tc>
        <w:tc>
          <w:tcPr>
            <w:tcW w:w="886"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gridSpan w:val="2"/>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合计</w:t>
            </w:r>
          </w:p>
        </w:tc>
        <w:tc>
          <w:tcPr>
            <w:tcW w:w="960" w:type="dxa"/>
            <w:tcBorders>
              <w:tl2br w:val="nil"/>
              <w:tr2bl w:val="nil"/>
            </w:tcBorders>
            <w:noWrap w:val="0"/>
            <w:vAlign w:val="center"/>
          </w:tcPr>
          <w:p>
            <w:pPr>
              <w:jc w:val="right"/>
              <w:rPr>
                <w:lang w:val="en-US" w:eastAsia="zh-CN"/>
              </w:rPr>
            </w:pPr>
            <w:r>
              <w:rPr>
                <w:rFonts w:ascii="宋体" w:hAnsi="宋体" w:eastAsia="宋体" w:cs="宋体"/>
                <w:b/>
                <w:i w:val="0"/>
                <w:color w:val="000000"/>
                <w:sz w:val="11"/>
                <w:lang w:val="en-US" w:eastAsia="zh-CN"/>
              </w:rPr>
              <w:t>424.37</w:t>
            </w:r>
          </w:p>
        </w:tc>
        <w:tc>
          <w:tcPr>
            <w:tcW w:w="960" w:type="dxa"/>
            <w:tcBorders>
              <w:tl2br w:val="nil"/>
              <w:tr2bl w:val="nil"/>
            </w:tcBorders>
            <w:noWrap w:val="0"/>
            <w:vAlign w:val="center"/>
          </w:tcPr>
          <w:p>
            <w:pPr>
              <w:jc w:val="right"/>
              <w:rPr>
                <w:lang w:val="en-US" w:eastAsia="zh-CN"/>
              </w:rPr>
            </w:pPr>
            <w:r>
              <w:rPr>
                <w:rFonts w:ascii="宋体" w:hAnsi="宋体" w:eastAsia="宋体" w:cs="宋体"/>
                <w:b/>
                <w:i w:val="0"/>
                <w:color w:val="000000"/>
                <w:sz w:val="11"/>
                <w:lang w:val="en-US" w:eastAsia="zh-CN"/>
              </w:rPr>
              <w:t>399.37</w:t>
            </w:r>
          </w:p>
        </w:tc>
        <w:tc>
          <w:tcPr>
            <w:tcW w:w="960" w:type="dxa"/>
            <w:tcBorders>
              <w:tl2br w:val="nil"/>
              <w:tr2bl w:val="nil"/>
            </w:tcBorders>
            <w:noWrap w:val="0"/>
            <w:vAlign w:val="center"/>
          </w:tcPr>
          <w:p>
            <w:pPr>
              <w:jc w:val="right"/>
              <w:rPr>
                <w:lang w:val="en-US" w:eastAsia="zh-CN"/>
              </w:rPr>
            </w:pPr>
            <w:r>
              <w:rPr>
                <w:rFonts w:ascii="宋体" w:hAnsi="宋体" w:eastAsia="宋体" w:cs="宋体"/>
                <w:b/>
                <w:i w:val="0"/>
                <w:color w:val="000000"/>
                <w:sz w:val="11"/>
                <w:lang w:val="en-US" w:eastAsia="zh-CN"/>
              </w:rPr>
              <w:t>25.00</w:t>
            </w:r>
          </w:p>
        </w:tc>
        <w:tc>
          <w:tcPr>
            <w:tcW w:w="960" w:type="dxa"/>
            <w:tcBorders>
              <w:tl2br w:val="nil"/>
              <w:tr2bl w:val="nil"/>
            </w:tcBorders>
            <w:noWrap w:val="0"/>
            <w:vAlign w:val="center"/>
          </w:tcPr>
          <w:p>
            <w:pPr>
              <w:jc w:val="right"/>
              <w:rPr>
                <w:lang w:val="en-US" w:eastAsia="zh-CN"/>
              </w:rPr>
            </w:pPr>
            <w:r>
              <w:rPr>
                <w:rFonts w:ascii="宋体" w:hAnsi="宋体" w:eastAsia="宋体" w:cs="宋体"/>
                <w:b/>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201</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一般公共服务支出</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65.09</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65.09</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20106</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财政事务</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65.09</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65.09</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2010650</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事业运行</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65.09</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65.09</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208</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社会保障和就业支出</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25.98</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25.98</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20805</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行政事业单位养老支出</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25.90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25.90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2080502</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事业单位离退休</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12.06</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12.06</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2080505</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机关事业单位基本养老保险缴费支出</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6.23</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6.23</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2080506</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机关事业单位职业年金缴费支出</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7.61</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7.61</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20899</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其他社会保障和就业支出</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0.08</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0.08</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2089999</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其他社会保障和就业支出</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0.08</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0.08</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210</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卫生健康支出</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1.50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1.50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21011</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行政事业单位医疗</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1.50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1.50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2101102</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事业单位医疗</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1.50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1.50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212</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城乡社区支出</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18.20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18.20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21202</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城乡社区规划与管理</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18.20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18.20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2120201</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城乡社区规划与管理</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18.20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18.20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213</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农林水支出</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308.25</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283.25</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25.00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21301</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农业农村</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74.65</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74.65</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2130126</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农村社会事业</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74.65</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74.65</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21307</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农村综合改革</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233.60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208.60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25.00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2130701</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对村级公益事业建设的补助</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25.00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25.00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2130705</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对村民委员会和村党支部的补助</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208.60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208.60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221</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住房保障支出</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5.34</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5.34</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22102</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住房改革支出</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5.34</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5.34</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2210201</w:t>
            </w:r>
          </w:p>
        </w:tc>
        <w:tc>
          <w:tcPr>
            <w:tcW w:w="20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住房公积金</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5.34</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5.34</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注：本表反映部门本年度各项支出情况。</w:t>
            </w:r>
          </w:p>
        </w:tc>
      </w:tr>
    </w:tbl>
    <w:p>
      <w:pPr>
        <w:snapToGrid w:val="0"/>
        <w:spacing w:before="0" w:after="0" w:line="0" w:lineRule="auto"/>
        <w:jc w:val="both"/>
        <w:rPr>
          <w:lang w:val="en-US" w:eastAsia="zh-CN"/>
        </w:rPr>
      </w:pPr>
      <w:r>
        <w:rPr>
          <w:sz w:val="8"/>
          <w:lang w:val="en-US" w:eastAsia="zh-CN"/>
        </w:rPr>
        <w:t xml:space="preserve"> </w:t>
      </w:r>
    </w:p>
    <w:p>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rPr>
                <w:lang w:val="en-US" w:eastAsia="zh-CN"/>
              </w:rPr>
            </w:pPr>
            <w:r>
              <w:rPr>
                <w:rFonts w:ascii="宋体" w:hAnsi="宋体" w:eastAsia="宋体" w:cs="宋体"/>
                <w:sz w:val="20"/>
                <w:lang w:val="en-US" w:eastAsia="zh-CN"/>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pPr>
              <w:jc w:val="left"/>
              <w:rPr>
                <w:lang w:val="en-US" w:eastAsia="zh-CN"/>
              </w:rPr>
            </w:pPr>
            <w:r>
              <w:rPr>
                <w:rFonts w:ascii="宋体" w:hAnsi="宋体" w:eastAsia="宋体" w:cs="宋体"/>
                <w:sz w:val="20"/>
                <w:lang w:val="en-US" w:eastAsia="zh-CN"/>
              </w:rPr>
              <w:t>单位：通山县九宫山镇财政所本级</w:t>
            </w:r>
          </w:p>
        </w:tc>
        <w:tc>
          <w:tcPr>
            <w:tcW w:w="2000" w:type="dxa"/>
            <w:tcBorders>
              <w:tl2br w:val="nil"/>
              <w:tr2bl w:val="nil"/>
            </w:tcBorders>
            <w:noWrap w:val="0"/>
            <w:vAlign w:val="top"/>
          </w:tcPr>
          <w:p>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pPr>
              <w:jc w:val="right"/>
              <w:rPr>
                <w:lang w:val="en-US" w:eastAsia="zh-CN"/>
              </w:rPr>
            </w:pPr>
            <w:r>
              <w:rPr>
                <w:rFonts w:ascii="宋体" w:hAnsi="宋体" w:eastAsia="宋体" w:cs="宋体"/>
                <w:sz w:val="20"/>
                <w:lang w:val="en-US" w:eastAsia="zh-CN"/>
              </w:rPr>
              <w:t>金额单位：万元</w:t>
            </w:r>
          </w:p>
        </w:tc>
      </w:tr>
    </w:tbl>
    <w:p>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640"/>
        <w:gridCol w:w="280"/>
        <w:gridCol w:w="840"/>
        <w:gridCol w:w="1840"/>
        <w:gridCol w:w="280"/>
        <w:gridCol w:w="840"/>
        <w:gridCol w:w="840"/>
        <w:gridCol w:w="840"/>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gridSpan w:val="3"/>
            <w:noWrap w:val="0"/>
            <w:vAlign w:val="center"/>
          </w:tcPr>
          <w:p>
            <w:pPr>
              <w:jc w:val="center"/>
              <w:rPr>
                <w:lang w:val="en-US" w:eastAsia="zh-CN"/>
              </w:rPr>
            </w:pPr>
            <w:r>
              <w:rPr>
                <w:rFonts w:ascii="宋体" w:hAnsi="宋体" w:eastAsia="宋体" w:cs="宋体"/>
                <w:b w:val="0"/>
                <w:i w:val="0"/>
                <w:color w:val="000000"/>
                <w:sz w:val="11"/>
                <w:lang w:val="en-US" w:eastAsia="zh-CN"/>
              </w:rPr>
              <w:t>收     入</w:t>
            </w:r>
          </w:p>
        </w:tc>
        <w:tc>
          <w:tcPr>
            <w:tcW w:w="1840" w:type="dxa"/>
            <w:gridSpan w:val="6"/>
            <w:noWrap w:val="0"/>
            <w:vAlign w:val="center"/>
          </w:tcPr>
          <w:p>
            <w:pPr>
              <w:jc w:val="center"/>
              <w:rPr>
                <w:lang w:val="en-US" w:eastAsia="zh-CN"/>
              </w:rPr>
            </w:pPr>
            <w:r>
              <w:rPr>
                <w:rFonts w:ascii="宋体" w:hAnsi="宋体" w:eastAsia="宋体" w:cs="宋体"/>
                <w:b w:val="0"/>
                <w:i w:val="0"/>
                <w:color w:val="000000"/>
                <w:sz w:val="11"/>
                <w:lang w:val="en-US" w:eastAsia="zh-CN"/>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4" w:hRule="exact"/>
          <w:jc w:val="center"/>
        </w:trPr>
        <w:tc>
          <w:tcPr>
            <w:tcW w:w="164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金额</w:t>
            </w:r>
          </w:p>
        </w:tc>
        <w:tc>
          <w:tcPr>
            <w:tcW w:w="184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合计</w:t>
            </w:r>
          </w:p>
        </w:tc>
        <w:tc>
          <w:tcPr>
            <w:tcW w:w="84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一般公共预算财政拨款</w:t>
            </w:r>
          </w:p>
        </w:tc>
        <w:tc>
          <w:tcPr>
            <w:tcW w:w="84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政府性基金预算财政拨款</w:t>
            </w:r>
          </w:p>
        </w:tc>
        <w:tc>
          <w:tcPr>
            <w:tcW w:w="906"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1" w:hRule="exact"/>
          <w:jc w:val="center"/>
        </w:trPr>
        <w:tc>
          <w:tcPr>
            <w:tcW w:w="1640" w:type="dxa"/>
            <w:vMerge w:val="continue"/>
            <w:tcBorders>
              <w:tl2br w:val="nil"/>
              <w:tr2bl w:val="nil"/>
            </w:tcBorders>
            <w:noWrap w:val="0"/>
            <w:vAlign w:val="center"/>
          </w:tcPr>
          <w:p>
            <w:pPr>
              <w:jc w:val="both"/>
              <w:rPr>
                <w:lang w:val="en-US" w:eastAsia="zh-CN"/>
              </w:rPr>
            </w:pPr>
          </w:p>
        </w:tc>
        <w:tc>
          <w:tcPr>
            <w:tcW w:w="280" w:type="dxa"/>
            <w:vMerge w:val="continue"/>
            <w:tcBorders>
              <w:tl2br w:val="nil"/>
              <w:tr2bl w:val="nil"/>
            </w:tcBorders>
            <w:noWrap w:val="0"/>
            <w:vAlign w:val="center"/>
          </w:tcPr>
          <w:p>
            <w:pPr>
              <w:jc w:val="both"/>
              <w:rPr>
                <w:lang w:val="en-US" w:eastAsia="zh-CN"/>
              </w:rPr>
            </w:pPr>
          </w:p>
        </w:tc>
        <w:tc>
          <w:tcPr>
            <w:tcW w:w="840" w:type="dxa"/>
            <w:vMerge w:val="continue"/>
            <w:tcBorders>
              <w:tl2br w:val="nil"/>
              <w:tr2bl w:val="nil"/>
            </w:tcBorders>
            <w:noWrap w:val="0"/>
            <w:vAlign w:val="center"/>
          </w:tcPr>
          <w:p>
            <w:pPr>
              <w:jc w:val="both"/>
              <w:rPr>
                <w:lang w:val="en-US" w:eastAsia="zh-CN"/>
              </w:rPr>
            </w:pPr>
          </w:p>
        </w:tc>
        <w:tc>
          <w:tcPr>
            <w:tcW w:w="1840" w:type="dxa"/>
            <w:vMerge w:val="continue"/>
            <w:tcBorders>
              <w:tl2br w:val="nil"/>
              <w:tr2bl w:val="nil"/>
            </w:tcBorders>
            <w:noWrap w:val="0"/>
            <w:vAlign w:val="center"/>
          </w:tcPr>
          <w:p>
            <w:pPr>
              <w:jc w:val="both"/>
              <w:rPr>
                <w:lang w:val="en-US" w:eastAsia="zh-CN"/>
              </w:rPr>
            </w:pPr>
          </w:p>
        </w:tc>
        <w:tc>
          <w:tcPr>
            <w:tcW w:w="280" w:type="dxa"/>
            <w:vMerge w:val="continue"/>
            <w:tcBorders>
              <w:tl2br w:val="nil"/>
              <w:tr2bl w:val="nil"/>
            </w:tcBorders>
            <w:noWrap w:val="0"/>
            <w:vAlign w:val="center"/>
          </w:tcPr>
          <w:p>
            <w:pPr>
              <w:jc w:val="both"/>
              <w:rPr>
                <w:lang w:val="en-US" w:eastAsia="zh-CN"/>
              </w:rPr>
            </w:pPr>
          </w:p>
        </w:tc>
        <w:tc>
          <w:tcPr>
            <w:tcW w:w="840" w:type="dxa"/>
            <w:vMerge w:val="continue"/>
            <w:tcBorders>
              <w:tl2br w:val="nil"/>
              <w:tr2bl w:val="nil"/>
            </w:tcBorders>
            <w:noWrap w:val="0"/>
            <w:vAlign w:val="center"/>
          </w:tcPr>
          <w:p>
            <w:pPr>
              <w:jc w:val="both"/>
              <w:rPr>
                <w:lang w:val="en-US" w:eastAsia="zh-CN"/>
              </w:rPr>
            </w:pPr>
          </w:p>
        </w:tc>
        <w:tc>
          <w:tcPr>
            <w:tcW w:w="840" w:type="dxa"/>
            <w:vMerge w:val="continue"/>
            <w:tcBorders>
              <w:tl2br w:val="nil"/>
              <w:tr2bl w:val="nil"/>
            </w:tcBorders>
            <w:noWrap w:val="0"/>
            <w:vAlign w:val="center"/>
          </w:tcPr>
          <w:p>
            <w:pPr>
              <w:jc w:val="both"/>
              <w:rPr>
                <w:lang w:val="en-US" w:eastAsia="zh-CN"/>
              </w:rPr>
            </w:pPr>
          </w:p>
        </w:tc>
        <w:tc>
          <w:tcPr>
            <w:tcW w:w="840" w:type="dxa"/>
            <w:vMerge w:val="continue"/>
            <w:tcBorders>
              <w:tl2br w:val="nil"/>
              <w:tr2bl w:val="nil"/>
            </w:tcBorders>
            <w:noWrap w:val="0"/>
            <w:vAlign w:val="center"/>
          </w:tcPr>
          <w:p>
            <w:pPr>
              <w:jc w:val="both"/>
              <w:rPr>
                <w:lang w:val="en-US" w:eastAsia="zh-CN"/>
              </w:rPr>
            </w:pPr>
          </w:p>
        </w:tc>
        <w:tc>
          <w:tcPr>
            <w:tcW w:w="90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pPr>
              <w:jc w:val="both"/>
              <w:rPr>
                <w:lang w:val="en-US" w:eastAsia="zh-CN"/>
              </w:rPr>
            </w:pPr>
          </w:p>
        </w:tc>
        <w:tc>
          <w:tcPr>
            <w:tcW w:w="8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1</w:t>
            </w:r>
          </w:p>
        </w:tc>
        <w:tc>
          <w:tcPr>
            <w:tcW w:w="18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pPr>
              <w:jc w:val="both"/>
              <w:rPr>
                <w:lang w:val="en-US" w:eastAsia="zh-CN"/>
              </w:rPr>
            </w:pPr>
          </w:p>
        </w:tc>
        <w:tc>
          <w:tcPr>
            <w:tcW w:w="8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4</w:t>
            </w:r>
          </w:p>
        </w:tc>
        <w:tc>
          <w:tcPr>
            <w:tcW w:w="906"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一、一般公共预算财政拨款</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1</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424.37</w:t>
            </w: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一、一般公共服务支出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33</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65.09</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65.09</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二、政府性基金预算财政拨款</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二、外交支出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34</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三、国有资本经营预算财政拨款</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三、国防支出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35</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4</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四、公共安全支出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36</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5</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五、教育支出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37</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6</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六、科学技术支出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38</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7</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七、文化旅游体育与传媒支出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39</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8</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八、社会保障和就业支出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40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25.99</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25.99</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9</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九、卫生健康支出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41</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1.50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1.50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10</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十、节能环保支出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42</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11</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十一、城乡社区支出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43</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18.20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18.20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12</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十二、农林水支出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44</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308.26</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308.26</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13</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十三、交通运输支出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45</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14</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十四、资源勘探工业信息等支出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46</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15</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十五、商业服务业等支出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47</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16</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十六、金融支出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48</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17</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十七、援助其他地区支出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49</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18</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十八、自然资源海洋气象等支出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50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19</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十九、住房保障支出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51</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5.34</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5.34</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20</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二十、粮油物资储备支出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52</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21</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二十一、国有资本经营预算支出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53</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22</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二十二、灾害防治及应急管理支出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54</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23</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二十三、其他支出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55</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24</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二十四、债务还本支出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56</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25</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二十五、债务付息支出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57</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26</w:t>
            </w:r>
          </w:p>
        </w:tc>
        <w:tc>
          <w:tcPr>
            <w:tcW w:w="840" w:type="dxa"/>
            <w:tcBorders>
              <w:tl2br w:val="nil"/>
              <w:tr2bl w:val="nil"/>
            </w:tcBorders>
            <w:noWrap w:val="0"/>
            <w:vAlign w:val="center"/>
          </w:tcPr>
          <w:p>
            <w:pPr>
              <w:jc w:val="both"/>
              <w:rPr>
                <w:lang w:val="en-US" w:eastAsia="zh-CN"/>
              </w:rPr>
            </w:pP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二十六、抗疫特别国债安排的支出</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58</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center"/>
              <w:rPr>
                <w:lang w:val="en-US" w:eastAsia="zh-CN"/>
              </w:rPr>
            </w:pPr>
            <w:r>
              <w:rPr>
                <w:rFonts w:ascii="宋体" w:hAnsi="宋体" w:eastAsia="宋体" w:cs="宋体"/>
                <w:b/>
                <w:i w:val="0"/>
                <w:color w:val="000000"/>
                <w:sz w:val="11"/>
                <w:lang w:val="en-US" w:eastAsia="zh-CN"/>
              </w:rPr>
              <w:t>本年收入合计</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27</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424.37</w:t>
            </w:r>
          </w:p>
        </w:tc>
        <w:tc>
          <w:tcPr>
            <w:tcW w:w="1840" w:type="dxa"/>
            <w:tcBorders>
              <w:tl2br w:val="nil"/>
              <w:tr2bl w:val="nil"/>
            </w:tcBorders>
            <w:noWrap w:val="0"/>
            <w:vAlign w:val="center"/>
          </w:tcPr>
          <w:p>
            <w:pPr>
              <w:jc w:val="center"/>
              <w:rPr>
                <w:lang w:val="en-US" w:eastAsia="zh-CN"/>
              </w:rPr>
            </w:pPr>
            <w:r>
              <w:rPr>
                <w:rFonts w:ascii="宋体" w:hAnsi="宋体" w:eastAsia="宋体" w:cs="宋体"/>
                <w:b/>
                <w:i w:val="0"/>
                <w:color w:val="000000"/>
                <w:sz w:val="11"/>
                <w:lang w:val="en-US" w:eastAsia="zh-CN"/>
              </w:rPr>
              <w:t>本年支出合计</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59</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424.37</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424.37</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年初财政拨款结转和结余</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28</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18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年末财政拨款结转和结余</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60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 xml:space="preserve">  一般公共预算财政拨款</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29</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18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61</w:t>
            </w:r>
          </w:p>
        </w:tc>
        <w:tc>
          <w:tcPr>
            <w:tcW w:w="840" w:type="dxa"/>
            <w:tcBorders>
              <w:tl2br w:val="nil"/>
              <w:tr2bl w:val="nil"/>
            </w:tcBorders>
            <w:noWrap w:val="0"/>
            <w:vAlign w:val="center"/>
          </w:tcPr>
          <w:p>
            <w:pPr>
              <w:jc w:val="both"/>
              <w:rPr>
                <w:lang w:val="en-US" w:eastAsia="zh-CN"/>
              </w:rPr>
            </w:pPr>
          </w:p>
        </w:tc>
        <w:tc>
          <w:tcPr>
            <w:tcW w:w="840" w:type="dxa"/>
            <w:tcBorders>
              <w:tl2br w:val="nil"/>
              <w:tr2bl w:val="nil"/>
            </w:tcBorders>
            <w:noWrap w:val="0"/>
            <w:vAlign w:val="center"/>
          </w:tcPr>
          <w:p>
            <w:pPr>
              <w:jc w:val="both"/>
              <w:rPr>
                <w:lang w:val="en-US" w:eastAsia="zh-CN"/>
              </w:rPr>
            </w:pPr>
          </w:p>
        </w:tc>
        <w:tc>
          <w:tcPr>
            <w:tcW w:w="840" w:type="dxa"/>
            <w:tcBorders>
              <w:tl2br w:val="nil"/>
              <w:tr2bl w:val="nil"/>
            </w:tcBorders>
            <w:noWrap w:val="0"/>
            <w:vAlign w:val="center"/>
          </w:tcPr>
          <w:p>
            <w:pPr>
              <w:jc w:val="both"/>
              <w:rPr>
                <w:lang w:val="en-US" w:eastAsia="zh-CN"/>
              </w:rPr>
            </w:pPr>
          </w:p>
        </w:tc>
        <w:tc>
          <w:tcPr>
            <w:tcW w:w="906" w:type="dxa"/>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 xml:space="preserve">  政府性基金预算财政拨款</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30</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18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62</w:t>
            </w:r>
          </w:p>
        </w:tc>
        <w:tc>
          <w:tcPr>
            <w:tcW w:w="840" w:type="dxa"/>
            <w:tcBorders>
              <w:tl2br w:val="nil"/>
              <w:tr2bl w:val="nil"/>
            </w:tcBorders>
            <w:noWrap w:val="0"/>
            <w:vAlign w:val="center"/>
          </w:tcPr>
          <w:p>
            <w:pPr>
              <w:jc w:val="both"/>
              <w:rPr>
                <w:lang w:val="en-US" w:eastAsia="zh-CN"/>
              </w:rPr>
            </w:pPr>
          </w:p>
        </w:tc>
        <w:tc>
          <w:tcPr>
            <w:tcW w:w="840" w:type="dxa"/>
            <w:tcBorders>
              <w:tl2br w:val="nil"/>
              <w:tr2bl w:val="nil"/>
            </w:tcBorders>
            <w:noWrap w:val="0"/>
            <w:vAlign w:val="center"/>
          </w:tcPr>
          <w:p>
            <w:pPr>
              <w:jc w:val="both"/>
              <w:rPr>
                <w:lang w:val="en-US" w:eastAsia="zh-CN"/>
              </w:rPr>
            </w:pPr>
          </w:p>
        </w:tc>
        <w:tc>
          <w:tcPr>
            <w:tcW w:w="840" w:type="dxa"/>
            <w:tcBorders>
              <w:tl2br w:val="nil"/>
              <w:tr2bl w:val="nil"/>
            </w:tcBorders>
            <w:noWrap w:val="0"/>
            <w:vAlign w:val="center"/>
          </w:tcPr>
          <w:p>
            <w:pPr>
              <w:jc w:val="both"/>
              <w:rPr>
                <w:lang w:val="en-US" w:eastAsia="zh-CN"/>
              </w:rPr>
            </w:pPr>
          </w:p>
        </w:tc>
        <w:tc>
          <w:tcPr>
            <w:tcW w:w="906" w:type="dxa"/>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 xml:space="preserve">  国有资本经营预算财政拨款</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31</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1840" w:type="dxa"/>
            <w:tcBorders>
              <w:tl2br w:val="nil"/>
              <w:tr2bl w:val="nil"/>
            </w:tcBorders>
            <w:noWrap w:val="0"/>
            <w:vAlign w:val="center"/>
          </w:tcPr>
          <w:p>
            <w:pPr>
              <w:jc w:val="both"/>
              <w:rPr>
                <w:lang w:val="en-US" w:eastAsia="zh-CN"/>
              </w:rPr>
            </w:pP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63</w:t>
            </w:r>
          </w:p>
        </w:tc>
        <w:tc>
          <w:tcPr>
            <w:tcW w:w="840" w:type="dxa"/>
            <w:tcBorders>
              <w:tl2br w:val="nil"/>
              <w:tr2bl w:val="nil"/>
            </w:tcBorders>
            <w:noWrap w:val="0"/>
            <w:vAlign w:val="center"/>
          </w:tcPr>
          <w:p>
            <w:pPr>
              <w:jc w:val="both"/>
              <w:rPr>
                <w:lang w:val="en-US" w:eastAsia="zh-CN"/>
              </w:rPr>
            </w:pPr>
          </w:p>
        </w:tc>
        <w:tc>
          <w:tcPr>
            <w:tcW w:w="840" w:type="dxa"/>
            <w:tcBorders>
              <w:tl2br w:val="nil"/>
              <w:tr2bl w:val="nil"/>
            </w:tcBorders>
            <w:noWrap w:val="0"/>
            <w:vAlign w:val="center"/>
          </w:tcPr>
          <w:p>
            <w:pPr>
              <w:jc w:val="both"/>
              <w:rPr>
                <w:lang w:val="en-US" w:eastAsia="zh-CN"/>
              </w:rPr>
            </w:pPr>
          </w:p>
        </w:tc>
        <w:tc>
          <w:tcPr>
            <w:tcW w:w="840" w:type="dxa"/>
            <w:tcBorders>
              <w:tl2br w:val="nil"/>
              <w:tr2bl w:val="nil"/>
            </w:tcBorders>
            <w:noWrap w:val="0"/>
            <w:vAlign w:val="center"/>
          </w:tcPr>
          <w:p>
            <w:pPr>
              <w:jc w:val="both"/>
              <w:rPr>
                <w:lang w:val="en-US" w:eastAsia="zh-CN"/>
              </w:rPr>
            </w:pPr>
          </w:p>
        </w:tc>
        <w:tc>
          <w:tcPr>
            <w:tcW w:w="906" w:type="dxa"/>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32</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424.37</w:t>
            </w:r>
          </w:p>
        </w:tc>
        <w:tc>
          <w:tcPr>
            <w:tcW w:w="1840" w:type="dxa"/>
            <w:tcBorders>
              <w:tl2br w:val="nil"/>
              <w:tr2bl w:val="nil"/>
            </w:tcBorders>
            <w:noWrap w:val="0"/>
            <w:vAlign w:val="center"/>
          </w:tcPr>
          <w:p>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1"/>
                <w:lang w:val="en-US" w:eastAsia="zh-CN"/>
              </w:rPr>
              <w:t>64</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424.37</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424.37</w:t>
            </w:r>
          </w:p>
        </w:tc>
        <w:tc>
          <w:tcPr>
            <w:tcW w:w="84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1"/>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gridSpan w:val="8"/>
            <w:tcBorders>
              <w:left w:val="single" w:color="FFFFFF" w:sz="4" w:space="0"/>
              <w:bottom w:val="single" w:color="FFFFFF" w:sz="4" w:space="0"/>
              <w:right w:val="single" w:color="FFFFFF" w:sz="4" w:space="0"/>
              <w:tl2br w:val="nil"/>
              <w:tr2bl w:val="nil"/>
            </w:tcBorders>
            <w:noWrap w:val="0"/>
            <w:vAlign w:val="center"/>
          </w:tcPr>
          <w:p>
            <w:pPr>
              <w:jc w:val="left"/>
              <w:rPr>
                <w:lang w:val="en-US" w:eastAsia="zh-CN"/>
              </w:rPr>
            </w:pPr>
            <w:r>
              <w:rPr>
                <w:rFonts w:ascii="宋体" w:hAnsi="宋体" w:eastAsia="宋体" w:cs="宋体"/>
                <w:b w:val="0"/>
                <w:i w:val="0"/>
                <w:color w:val="000000"/>
                <w:sz w:val="11"/>
                <w:lang w:val="en-US" w:eastAsia="zh-CN"/>
              </w:rPr>
              <w:t>注：本表反映部门本年度一般公共预算财政拨款、政府性基金预算财政拨款和国有资本经营预算财政拨款的总收支和年末结转结余情况。</w:t>
            </w:r>
          </w:p>
        </w:tc>
        <w:tc>
          <w:tcPr>
            <w:tcW w:w="906" w:type="dxa"/>
            <w:tcBorders>
              <w:left w:val="single" w:color="FFFFFF" w:sz="4" w:space="0"/>
              <w:bottom w:val="single" w:color="FFFFFF" w:sz="4" w:space="0"/>
              <w:right w:val="single" w:color="FFFFFF" w:sz="4" w:space="0"/>
              <w:tl2br w:val="nil"/>
              <w:tr2bl w:val="nil"/>
            </w:tcBorders>
            <w:noWrap w:val="0"/>
            <w:vAlign w:val="center"/>
          </w:tcPr>
          <w:p>
            <w:pPr>
              <w:jc w:val="both"/>
              <w:rPr>
                <w:lang w:val="en-US" w:eastAsia="zh-CN"/>
              </w:rPr>
            </w:pPr>
          </w:p>
        </w:tc>
      </w:tr>
    </w:tbl>
    <w:p>
      <w:pPr>
        <w:snapToGrid w:val="0"/>
        <w:spacing w:before="0" w:after="0" w:line="0" w:lineRule="auto"/>
        <w:jc w:val="both"/>
        <w:rPr>
          <w:lang w:val="en-US" w:eastAsia="zh-CN"/>
        </w:rPr>
      </w:pPr>
      <w:r>
        <w:rPr>
          <w:sz w:val="8"/>
          <w:lang w:val="en-US" w:eastAsia="zh-CN"/>
        </w:rPr>
        <w:t xml:space="preserve"> </w:t>
      </w:r>
    </w:p>
    <w:p>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rPr>
                <w:lang w:val="en-US" w:eastAsia="zh-CN"/>
              </w:rPr>
            </w:pPr>
            <w:r>
              <w:rPr>
                <w:rFonts w:ascii="宋体" w:hAnsi="宋体" w:eastAsia="宋体" w:cs="宋体"/>
                <w:sz w:val="20"/>
                <w:lang w:val="en-US" w:eastAsia="zh-CN"/>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pPr>
              <w:jc w:val="left"/>
              <w:rPr>
                <w:lang w:val="en-US" w:eastAsia="zh-CN"/>
              </w:rPr>
            </w:pPr>
            <w:r>
              <w:rPr>
                <w:rFonts w:ascii="宋体" w:hAnsi="宋体" w:eastAsia="宋体" w:cs="宋体"/>
                <w:sz w:val="20"/>
                <w:lang w:val="en-US" w:eastAsia="zh-CN"/>
              </w:rPr>
              <w:t>单位：通山县九宫山镇财政所本级</w:t>
            </w:r>
          </w:p>
        </w:tc>
        <w:tc>
          <w:tcPr>
            <w:tcW w:w="2000" w:type="dxa"/>
            <w:tcBorders>
              <w:tl2br w:val="nil"/>
              <w:tr2bl w:val="nil"/>
            </w:tcBorders>
            <w:noWrap w:val="0"/>
            <w:vAlign w:val="top"/>
          </w:tcPr>
          <w:p>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pPr>
              <w:jc w:val="right"/>
              <w:rPr>
                <w:lang w:val="en-US" w:eastAsia="zh-CN"/>
              </w:rPr>
            </w:pPr>
            <w:r>
              <w:rPr>
                <w:rFonts w:ascii="宋体" w:hAnsi="宋体" w:eastAsia="宋体" w:cs="宋体"/>
                <w:sz w:val="20"/>
                <w:lang w:val="en-US" w:eastAsia="zh-CN"/>
              </w:rPr>
              <w:t>金额单位：万元</w:t>
            </w:r>
          </w:p>
        </w:tc>
      </w:tr>
    </w:tbl>
    <w:p>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20"/>
        <w:gridCol w:w="2800"/>
        <w:gridCol w:w="1600"/>
        <w:gridCol w:w="160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gridSpan w:val="2"/>
            <w:noWrap w:val="0"/>
            <w:vAlign w:val="center"/>
          </w:tcPr>
          <w:p>
            <w:pPr>
              <w:jc w:val="center"/>
              <w:rPr>
                <w:lang w:val="en-US" w:eastAsia="zh-CN"/>
              </w:rPr>
            </w:pPr>
            <w:r>
              <w:rPr>
                <w:rFonts w:ascii="宋体" w:hAnsi="宋体" w:eastAsia="宋体" w:cs="宋体"/>
                <w:b w:val="0"/>
                <w:i w:val="0"/>
                <w:color w:val="000000"/>
                <w:sz w:val="15"/>
                <w:lang w:val="en-US" w:eastAsia="zh-CN"/>
              </w:rPr>
              <w:t>项目</w:t>
            </w:r>
          </w:p>
        </w:tc>
        <w:tc>
          <w:tcPr>
            <w:tcW w:w="1600" w:type="dxa"/>
            <w:gridSpan w:val="3"/>
            <w:noWrap w:val="0"/>
            <w:vAlign w:val="center"/>
          </w:tcPr>
          <w:p>
            <w:pPr>
              <w:jc w:val="center"/>
              <w:rPr>
                <w:lang w:val="en-US" w:eastAsia="zh-CN"/>
              </w:rPr>
            </w:pPr>
            <w:r>
              <w:rPr>
                <w:rFonts w:ascii="宋体" w:hAnsi="宋体" w:eastAsia="宋体" w:cs="宋体"/>
                <w:b w:val="0"/>
                <w:i w:val="0"/>
                <w:color w:val="000000"/>
                <w:sz w:val="15"/>
                <w:lang w:val="en-US" w:eastAsia="zh-CN"/>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5"/>
                <w:lang w:val="en-US" w:eastAsia="zh-CN"/>
              </w:rPr>
              <w:t>科目代码</w:t>
            </w:r>
          </w:p>
        </w:tc>
        <w:tc>
          <w:tcPr>
            <w:tcW w:w="280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5"/>
                <w:lang w:val="en-US" w:eastAsia="zh-CN"/>
              </w:rPr>
              <w:t>科目名称</w:t>
            </w:r>
          </w:p>
        </w:tc>
        <w:tc>
          <w:tcPr>
            <w:tcW w:w="160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5"/>
                <w:lang w:val="en-US" w:eastAsia="zh-CN"/>
              </w:rPr>
              <w:t>小计</w:t>
            </w:r>
          </w:p>
        </w:tc>
        <w:tc>
          <w:tcPr>
            <w:tcW w:w="160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5"/>
                <w:lang w:val="en-US" w:eastAsia="zh-CN"/>
              </w:rPr>
              <w:t>基本支出</w:t>
            </w:r>
          </w:p>
        </w:tc>
        <w:tc>
          <w:tcPr>
            <w:tcW w:w="1586"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5"/>
                <w:lang w:val="en-US" w:eastAsia="zh-CN"/>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240" w:type="dxa"/>
            <w:vMerge w:val="continue"/>
            <w:tcBorders>
              <w:tl2br w:val="nil"/>
              <w:tr2bl w:val="nil"/>
            </w:tcBorders>
            <w:noWrap w:val="0"/>
            <w:vAlign w:val="center"/>
          </w:tcPr>
          <w:p>
            <w:pPr>
              <w:jc w:val="both"/>
              <w:rPr>
                <w:lang w:val="en-US" w:eastAsia="zh-CN"/>
              </w:rPr>
            </w:pPr>
          </w:p>
        </w:tc>
        <w:tc>
          <w:tcPr>
            <w:tcW w:w="2800" w:type="dxa"/>
            <w:vMerge w:val="continue"/>
            <w:tcBorders>
              <w:tl2br w:val="nil"/>
              <w:tr2bl w:val="nil"/>
            </w:tcBorders>
            <w:noWrap w:val="0"/>
            <w:vAlign w:val="center"/>
          </w:tcPr>
          <w:p>
            <w:pPr>
              <w:jc w:val="both"/>
              <w:rPr>
                <w:lang w:val="en-US" w:eastAsia="zh-CN"/>
              </w:rPr>
            </w:pPr>
          </w:p>
        </w:tc>
        <w:tc>
          <w:tcPr>
            <w:tcW w:w="1600" w:type="dxa"/>
            <w:vMerge w:val="continue"/>
            <w:tcBorders>
              <w:tl2br w:val="nil"/>
              <w:tr2bl w:val="nil"/>
            </w:tcBorders>
            <w:noWrap w:val="0"/>
            <w:vAlign w:val="center"/>
          </w:tcPr>
          <w:p>
            <w:pPr>
              <w:jc w:val="both"/>
              <w:rPr>
                <w:lang w:val="en-US" w:eastAsia="zh-CN"/>
              </w:rPr>
            </w:pPr>
          </w:p>
        </w:tc>
        <w:tc>
          <w:tcPr>
            <w:tcW w:w="1600" w:type="dxa"/>
            <w:vMerge w:val="continue"/>
            <w:tcBorders>
              <w:tl2br w:val="nil"/>
              <w:tr2bl w:val="nil"/>
            </w:tcBorders>
            <w:noWrap w:val="0"/>
            <w:vAlign w:val="center"/>
          </w:tcPr>
          <w:p>
            <w:pPr>
              <w:jc w:val="both"/>
              <w:rPr>
                <w:lang w:val="en-US" w:eastAsia="zh-CN"/>
              </w:rPr>
            </w:pPr>
          </w:p>
        </w:tc>
        <w:tc>
          <w:tcPr>
            <w:tcW w:w="158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vMerge w:val="continue"/>
            <w:tcBorders>
              <w:tl2br w:val="nil"/>
              <w:tr2bl w:val="nil"/>
            </w:tcBorders>
            <w:noWrap w:val="0"/>
            <w:vAlign w:val="center"/>
          </w:tcPr>
          <w:p>
            <w:pPr>
              <w:jc w:val="both"/>
              <w:rPr>
                <w:lang w:val="en-US" w:eastAsia="zh-CN"/>
              </w:rPr>
            </w:pPr>
          </w:p>
        </w:tc>
        <w:tc>
          <w:tcPr>
            <w:tcW w:w="2800" w:type="dxa"/>
            <w:vMerge w:val="continue"/>
            <w:tcBorders>
              <w:tl2br w:val="nil"/>
              <w:tr2bl w:val="nil"/>
            </w:tcBorders>
            <w:noWrap w:val="0"/>
            <w:vAlign w:val="center"/>
          </w:tcPr>
          <w:p>
            <w:pPr>
              <w:jc w:val="both"/>
              <w:rPr>
                <w:lang w:val="en-US" w:eastAsia="zh-CN"/>
              </w:rPr>
            </w:pPr>
          </w:p>
        </w:tc>
        <w:tc>
          <w:tcPr>
            <w:tcW w:w="1600" w:type="dxa"/>
            <w:vMerge w:val="continue"/>
            <w:tcBorders>
              <w:tl2br w:val="nil"/>
              <w:tr2bl w:val="nil"/>
            </w:tcBorders>
            <w:noWrap w:val="0"/>
            <w:vAlign w:val="center"/>
          </w:tcPr>
          <w:p>
            <w:pPr>
              <w:jc w:val="both"/>
              <w:rPr>
                <w:lang w:val="en-US" w:eastAsia="zh-CN"/>
              </w:rPr>
            </w:pPr>
          </w:p>
        </w:tc>
        <w:tc>
          <w:tcPr>
            <w:tcW w:w="1600" w:type="dxa"/>
            <w:vMerge w:val="continue"/>
            <w:tcBorders>
              <w:tl2br w:val="nil"/>
              <w:tr2bl w:val="nil"/>
            </w:tcBorders>
            <w:noWrap w:val="0"/>
            <w:vAlign w:val="center"/>
          </w:tcPr>
          <w:p>
            <w:pPr>
              <w:jc w:val="both"/>
              <w:rPr>
                <w:lang w:val="en-US" w:eastAsia="zh-CN"/>
              </w:rPr>
            </w:pPr>
          </w:p>
        </w:tc>
        <w:tc>
          <w:tcPr>
            <w:tcW w:w="158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gridSpan w:val="2"/>
            <w:tcBorders>
              <w:tl2br w:val="nil"/>
              <w:tr2bl w:val="nil"/>
            </w:tcBorders>
            <w:noWrap w:val="0"/>
            <w:vAlign w:val="center"/>
          </w:tcPr>
          <w:p>
            <w:pPr>
              <w:jc w:val="center"/>
              <w:rPr>
                <w:lang w:val="en-US" w:eastAsia="zh-CN"/>
              </w:rPr>
            </w:pPr>
            <w:r>
              <w:rPr>
                <w:rFonts w:ascii="宋体" w:hAnsi="宋体" w:eastAsia="宋体" w:cs="宋体"/>
                <w:b w:val="0"/>
                <w:i w:val="0"/>
                <w:color w:val="000000"/>
                <w:sz w:val="15"/>
                <w:lang w:val="en-US" w:eastAsia="zh-CN"/>
              </w:rPr>
              <w:t>栏次</w:t>
            </w:r>
          </w:p>
        </w:tc>
        <w:tc>
          <w:tcPr>
            <w:tcW w:w="16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5"/>
                <w:lang w:val="en-US" w:eastAsia="zh-CN"/>
              </w:rPr>
              <w:t>1</w:t>
            </w:r>
          </w:p>
        </w:tc>
        <w:tc>
          <w:tcPr>
            <w:tcW w:w="16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5"/>
                <w:lang w:val="en-US" w:eastAsia="zh-CN"/>
              </w:rPr>
              <w:t>2</w:t>
            </w:r>
          </w:p>
        </w:tc>
        <w:tc>
          <w:tcPr>
            <w:tcW w:w="1586"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5"/>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gridSpan w:val="2"/>
            <w:tcBorders>
              <w:tl2br w:val="nil"/>
              <w:tr2bl w:val="nil"/>
            </w:tcBorders>
            <w:noWrap w:val="0"/>
            <w:vAlign w:val="center"/>
          </w:tcPr>
          <w:p>
            <w:pPr>
              <w:jc w:val="center"/>
              <w:rPr>
                <w:lang w:val="en-US" w:eastAsia="zh-CN"/>
              </w:rPr>
            </w:pPr>
            <w:r>
              <w:rPr>
                <w:rFonts w:ascii="宋体" w:hAnsi="宋体" w:eastAsia="宋体" w:cs="宋体"/>
                <w:b w:val="0"/>
                <w:i w:val="0"/>
                <w:color w:val="000000"/>
                <w:sz w:val="15"/>
                <w:lang w:val="en-US" w:eastAsia="zh-CN"/>
              </w:rPr>
              <w:t>合计</w:t>
            </w:r>
          </w:p>
        </w:tc>
        <w:tc>
          <w:tcPr>
            <w:tcW w:w="1600" w:type="dxa"/>
            <w:tcBorders>
              <w:tl2br w:val="nil"/>
              <w:tr2bl w:val="nil"/>
            </w:tcBorders>
            <w:noWrap w:val="0"/>
            <w:vAlign w:val="center"/>
          </w:tcPr>
          <w:p>
            <w:pPr>
              <w:jc w:val="right"/>
              <w:rPr>
                <w:lang w:val="en-US" w:eastAsia="zh-CN"/>
              </w:rPr>
            </w:pPr>
            <w:r>
              <w:rPr>
                <w:rFonts w:ascii="宋体" w:hAnsi="宋体" w:eastAsia="宋体" w:cs="宋体"/>
                <w:b/>
                <w:i w:val="0"/>
                <w:color w:val="000000"/>
                <w:sz w:val="15"/>
                <w:lang w:val="en-US" w:eastAsia="zh-CN"/>
              </w:rPr>
              <w:t>424.37</w:t>
            </w:r>
          </w:p>
        </w:tc>
        <w:tc>
          <w:tcPr>
            <w:tcW w:w="1600" w:type="dxa"/>
            <w:tcBorders>
              <w:tl2br w:val="nil"/>
              <w:tr2bl w:val="nil"/>
            </w:tcBorders>
            <w:noWrap w:val="0"/>
            <w:vAlign w:val="center"/>
          </w:tcPr>
          <w:p>
            <w:pPr>
              <w:jc w:val="right"/>
              <w:rPr>
                <w:lang w:val="en-US" w:eastAsia="zh-CN"/>
              </w:rPr>
            </w:pPr>
            <w:r>
              <w:rPr>
                <w:rFonts w:ascii="宋体" w:hAnsi="宋体" w:eastAsia="宋体" w:cs="宋体"/>
                <w:b/>
                <w:i w:val="0"/>
                <w:color w:val="000000"/>
                <w:sz w:val="15"/>
                <w:lang w:val="en-US" w:eastAsia="zh-CN"/>
              </w:rPr>
              <w:t>399.37</w:t>
            </w:r>
          </w:p>
        </w:tc>
        <w:tc>
          <w:tcPr>
            <w:tcW w:w="1586" w:type="dxa"/>
            <w:tcBorders>
              <w:tl2br w:val="nil"/>
              <w:tr2bl w:val="nil"/>
            </w:tcBorders>
            <w:noWrap w:val="0"/>
            <w:vAlign w:val="center"/>
          </w:tcPr>
          <w:p>
            <w:pPr>
              <w:jc w:val="right"/>
              <w:rPr>
                <w:lang w:val="en-US" w:eastAsia="zh-CN"/>
              </w:rPr>
            </w:pPr>
            <w:r>
              <w:rPr>
                <w:rFonts w:ascii="宋体" w:hAnsi="宋体" w:eastAsia="宋体" w:cs="宋体"/>
                <w:b/>
                <w:i w:val="0"/>
                <w:color w:val="000000"/>
                <w:sz w:val="15"/>
                <w:lang w:val="en-US" w:eastAsia="zh-CN"/>
              </w:rPr>
              <w:t>25.00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201</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一般公共服务支出</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65.09</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65.09</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20106</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财政事务</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65.09</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65.09</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2010650</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事业运行</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65.09</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65.09</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208</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社会保障和就业支出</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25.98</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25.98</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20805</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行政事业单位养老支出</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25.90</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25.90</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2080502</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事业单位离退休</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12.06</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12.06</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2080505</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机关事业单位基本养老保险缴费支出</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6.23</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6.23</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2080506</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机关事业单位职业年金缴费支出</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7.61</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7.61</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20899</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其他社会保障和就业支出</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0.08</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0.08</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2089999</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其他社会保障和就业支出</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0.08</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0.08</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210</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卫生健康支出</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1.50</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1.50</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21011</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行政事业单位医疗</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1.50</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1.50</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2101102</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事业单位医疗</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1.50</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1.50</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212</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城乡社区支出</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18.20</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18.20</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21202</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城乡社区规划与管理</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18.20</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18.20</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2120201</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城乡社区规划与管理</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18.20</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18.20</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213</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农林水支出</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308.25</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283.25</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25.00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21301</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农业农村</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74.65</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74.65</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2130126</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农村社会事业</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74.65</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74.65</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21307</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农村综合改革</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233.60</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208.60</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25.00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2130701</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对村级公益事业建设的补助</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25.00</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25.00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2130705</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对村民委员会和村党支部的补助</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208.60</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208.60</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221</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住房保障支出</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5.34</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5.34</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22102</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住房改革支出</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5.34</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5.34</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2210201</w:t>
            </w:r>
          </w:p>
        </w:tc>
        <w:tc>
          <w:tcPr>
            <w:tcW w:w="2800" w:type="dxa"/>
            <w:tcBorders>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住房公积金</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5.34</w:t>
            </w:r>
          </w:p>
        </w:tc>
        <w:tc>
          <w:tcPr>
            <w:tcW w:w="16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5.34</w:t>
            </w:r>
          </w:p>
        </w:tc>
        <w:tc>
          <w:tcPr>
            <w:tcW w:w="158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5"/>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gridSpan w:val="5"/>
            <w:tcBorders>
              <w:left w:val="single" w:color="FFFFFF" w:sz="4" w:space="0"/>
              <w:bottom w:val="single" w:color="FFFFFF" w:sz="4" w:space="0"/>
              <w:right w:val="single" w:color="FFFFFF" w:sz="4" w:space="0"/>
              <w:tl2br w:val="nil"/>
              <w:tr2bl w:val="nil"/>
            </w:tcBorders>
            <w:noWrap w:val="0"/>
            <w:vAlign w:val="center"/>
          </w:tcPr>
          <w:p>
            <w:pPr>
              <w:jc w:val="left"/>
              <w:rPr>
                <w:lang w:val="en-US" w:eastAsia="zh-CN"/>
              </w:rPr>
            </w:pPr>
            <w:r>
              <w:rPr>
                <w:rFonts w:ascii="宋体" w:hAnsi="宋体" w:eastAsia="宋体" w:cs="宋体"/>
                <w:b w:val="0"/>
                <w:i w:val="0"/>
                <w:color w:val="000000"/>
                <w:sz w:val="15"/>
                <w:lang w:val="en-US" w:eastAsia="zh-CN"/>
              </w:rPr>
              <w:t>注：本表反映部门本年度一般公共预算财政拨款支出情况。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pPr>
              <w:jc w:val="both"/>
              <w:rPr>
                <w:lang w:val="en-US" w:eastAsia="zh-CN"/>
              </w:rPr>
            </w:pPr>
          </w:p>
        </w:tc>
      </w:tr>
    </w:tbl>
    <w:p>
      <w:pPr>
        <w:snapToGrid w:val="0"/>
        <w:spacing w:before="0" w:after="0" w:line="0" w:lineRule="auto"/>
        <w:jc w:val="both"/>
        <w:rPr>
          <w:lang w:val="en-US" w:eastAsia="zh-CN"/>
        </w:rPr>
      </w:pPr>
      <w:r>
        <w:rPr>
          <w:sz w:val="8"/>
          <w:lang w:val="en-US" w:eastAsia="zh-CN"/>
        </w:rPr>
        <w:t xml:space="preserve"> </w:t>
      </w:r>
    </w:p>
    <w:p>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一般公共预算财政拨款基本支出决算明细表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rPr>
                <w:lang w:val="en-US" w:eastAsia="zh-CN"/>
              </w:rPr>
            </w:pPr>
            <w:r>
              <w:rPr>
                <w:rFonts w:ascii="宋体" w:hAnsi="宋体" w:eastAsia="宋体" w:cs="宋体"/>
                <w:sz w:val="20"/>
                <w:lang w:val="en-US" w:eastAsia="zh-CN"/>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pPr>
              <w:jc w:val="left"/>
              <w:rPr>
                <w:lang w:val="en-US" w:eastAsia="zh-CN"/>
              </w:rPr>
            </w:pPr>
            <w:r>
              <w:rPr>
                <w:rFonts w:ascii="宋体" w:hAnsi="宋体" w:eastAsia="宋体" w:cs="宋体"/>
                <w:sz w:val="20"/>
                <w:lang w:val="en-US" w:eastAsia="zh-CN"/>
              </w:rPr>
              <w:t>单位：通山县九宫山镇财政所本级</w:t>
            </w:r>
          </w:p>
        </w:tc>
        <w:tc>
          <w:tcPr>
            <w:tcW w:w="2000" w:type="dxa"/>
            <w:tcBorders>
              <w:tl2br w:val="nil"/>
              <w:tr2bl w:val="nil"/>
            </w:tcBorders>
            <w:noWrap w:val="0"/>
            <w:vAlign w:val="top"/>
          </w:tcPr>
          <w:p>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pPr>
              <w:jc w:val="right"/>
              <w:rPr>
                <w:lang w:val="en-US" w:eastAsia="zh-CN"/>
              </w:rPr>
            </w:pPr>
            <w:r>
              <w:rPr>
                <w:rFonts w:ascii="宋体" w:hAnsi="宋体" w:eastAsia="宋体" w:cs="宋体"/>
                <w:sz w:val="20"/>
                <w:lang w:val="en-US" w:eastAsia="zh-CN"/>
              </w:rPr>
              <w:t>金额单位：万元</w:t>
            </w:r>
          </w:p>
        </w:tc>
      </w:tr>
    </w:tbl>
    <w:p>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40"/>
        <w:gridCol w:w="1580"/>
        <w:gridCol w:w="820"/>
        <w:gridCol w:w="340"/>
        <w:gridCol w:w="1260"/>
        <w:gridCol w:w="820"/>
        <w:gridCol w:w="340"/>
        <w:gridCol w:w="2040"/>
        <w:gridCol w:w="7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4" w:hRule="exact"/>
          <w:jc w:val="center"/>
        </w:trPr>
        <w:tc>
          <w:tcPr>
            <w:tcW w:w="340" w:type="dxa"/>
            <w:gridSpan w:val="3"/>
            <w:noWrap w:val="0"/>
            <w:vAlign w:val="center"/>
          </w:tcPr>
          <w:p>
            <w:pPr>
              <w:jc w:val="center"/>
              <w:rPr>
                <w:lang w:val="en-US" w:eastAsia="zh-CN"/>
              </w:rPr>
            </w:pPr>
            <w:r>
              <w:rPr>
                <w:rFonts w:ascii="宋体" w:hAnsi="宋体" w:eastAsia="宋体" w:cs="宋体"/>
                <w:b w:val="0"/>
                <w:i w:val="0"/>
                <w:color w:val="000000"/>
                <w:sz w:val="9"/>
                <w:lang w:val="en-US" w:eastAsia="zh-CN"/>
              </w:rPr>
              <w:t>人员经费</w:t>
            </w:r>
          </w:p>
        </w:tc>
        <w:tc>
          <w:tcPr>
            <w:tcW w:w="340" w:type="dxa"/>
            <w:gridSpan w:val="6"/>
            <w:noWrap w:val="0"/>
            <w:vAlign w:val="center"/>
          </w:tcPr>
          <w:p>
            <w:pPr>
              <w:jc w:val="center"/>
              <w:rPr>
                <w:lang w:val="en-US" w:eastAsia="zh-CN"/>
              </w:rPr>
            </w:pPr>
            <w:r>
              <w:rPr>
                <w:rFonts w:ascii="宋体" w:hAnsi="宋体" w:eastAsia="宋体" w:cs="宋体"/>
                <w:b w:val="0"/>
                <w:i w:val="0"/>
                <w:color w:val="000000"/>
                <w:sz w:val="9"/>
                <w:lang w:val="en-US" w:eastAsia="zh-CN"/>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34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9"/>
                <w:lang w:val="en-US" w:eastAsia="zh-CN"/>
              </w:rPr>
              <w:t>科目代码</w:t>
            </w:r>
          </w:p>
        </w:tc>
        <w:tc>
          <w:tcPr>
            <w:tcW w:w="158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9"/>
                <w:lang w:val="en-US" w:eastAsia="zh-CN"/>
              </w:rPr>
              <w:t>科目代码</w:t>
            </w:r>
          </w:p>
        </w:tc>
        <w:tc>
          <w:tcPr>
            <w:tcW w:w="126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9"/>
                <w:lang w:val="en-US" w:eastAsia="zh-CN"/>
              </w:rPr>
              <w:t>科目代码</w:t>
            </w:r>
          </w:p>
        </w:tc>
        <w:tc>
          <w:tcPr>
            <w:tcW w:w="204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9"/>
                <w:lang w:val="en-US" w:eastAsia="zh-CN"/>
              </w:rPr>
              <w:t>科目名称</w:t>
            </w:r>
          </w:p>
        </w:tc>
        <w:tc>
          <w:tcPr>
            <w:tcW w:w="766"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9"/>
                <w:lang w:val="en-US" w:eastAsia="zh-CN"/>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340" w:type="dxa"/>
            <w:vMerge w:val="continue"/>
            <w:tcBorders>
              <w:tl2br w:val="nil"/>
              <w:tr2bl w:val="nil"/>
            </w:tcBorders>
            <w:noWrap w:val="0"/>
            <w:vAlign w:val="center"/>
          </w:tcPr>
          <w:p>
            <w:pPr>
              <w:jc w:val="both"/>
              <w:rPr>
                <w:lang w:val="en-US" w:eastAsia="zh-CN"/>
              </w:rPr>
            </w:pPr>
          </w:p>
        </w:tc>
        <w:tc>
          <w:tcPr>
            <w:tcW w:w="1580" w:type="dxa"/>
            <w:vMerge w:val="continue"/>
            <w:tcBorders>
              <w:tl2br w:val="nil"/>
              <w:tr2bl w:val="nil"/>
            </w:tcBorders>
            <w:noWrap w:val="0"/>
            <w:vAlign w:val="center"/>
          </w:tcPr>
          <w:p>
            <w:pPr>
              <w:jc w:val="both"/>
              <w:rPr>
                <w:lang w:val="en-US" w:eastAsia="zh-CN"/>
              </w:rPr>
            </w:pPr>
          </w:p>
        </w:tc>
        <w:tc>
          <w:tcPr>
            <w:tcW w:w="820" w:type="dxa"/>
            <w:vMerge w:val="continue"/>
            <w:tcBorders>
              <w:tl2br w:val="nil"/>
              <w:tr2bl w:val="nil"/>
            </w:tcBorders>
            <w:noWrap w:val="0"/>
            <w:vAlign w:val="center"/>
          </w:tcPr>
          <w:p>
            <w:pPr>
              <w:jc w:val="both"/>
              <w:rPr>
                <w:lang w:val="en-US" w:eastAsia="zh-CN"/>
              </w:rPr>
            </w:pPr>
          </w:p>
        </w:tc>
        <w:tc>
          <w:tcPr>
            <w:tcW w:w="340" w:type="dxa"/>
            <w:vMerge w:val="continue"/>
            <w:tcBorders>
              <w:tl2br w:val="nil"/>
              <w:tr2bl w:val="nil"/>
            </w:tcBorders>
            <w:noWrap w:val="0"/>
            <w:vAlign w:val="center"/>
          </w:tcPr>
          <w:p>
            <w:pPr>
              <w:jc w:val="both"/>
              <w:rPr>
                <w:lang w:val="en-US" w:eastAsia="zh-CN"/>
              </w:rPr>
            </w:pPr>
          </w:p>
        </w:tc>
        <w:tc>
          <w:tcPr>
            <w:tcW w:w="1260" w:type="dxa"/>
            <w:vMerge w:val="continue"/>
            <w:tcBorders>
              <w:tl2br w:val="nil"/>
              <w:tr2bl w:val="nil"/>
            </w:tcBorders>
            <w:noWrap w:val="0"/>
            <w:vAlign w:val="center"/>
          </w:tcPr>
          <w:p>
            <w:pPr>
              <w:jc w:val="both"/>
              <w:rPr>
                <w:lang w:val="en-US" w:eastAsia="zh-CN"/>
              </w:rPr>
            </w:pPr>
          </w:p>
        </w:tc>
        <w:tc>
          <w:tcPr>
            <w:tcW w:w="820" w:type="dxa"/>
            <w:vMerge w:val="continue"/>
            <w:tcBorders>
              <w:tl2br w:val="nil"/>
              <w:tr2bl w:val="nil"/>
            </w:tcBorders>
            <w:noWrap w:val="0"/>
            <w:vAlign w:val="center"/>
          </w:tcPr>
          <w:p>
            <w:pPr>
              <w:jc w:val="both"/>
              <w:rPr>
                <w:lang w:val="en-US" w:eastAsia="zh-CN"/>
              </w:rPr>
            </w:pPr>
          </w:p>
        </w:tc>
        <w:tc>
          <w:tcPr>
            <w:tcW w:w="340" w:type="dxa"/>
            <w:vMerge w:val="continue"/>
            <w:tcBorders>
              <w:tl2br w:val="nil"/>
              <w:tr2bl w:val="nil"/>
            </w:tcBorders>
            <w:noWrap w:val="0"/>
            <w:vAlign w:val="center"/>
          </w:tcPr>
          <w:p>
            <w:pPr>
              <w:jc w:val="both"/>
              <w:rPr>
                <w:lang w:val="en-US" w:eastAsia="zh-CN"/>
              </w:rPr>
            </w:pPr>
          </w:p>
        </w:tc>
        <w:tc>
          <w:tcPr>
            <w:tcW w:w="2040" w:type="dxa"/>
            <w:vMerge w:val="continue"/>
            <w:tcBorders>
              <w:tl2br w:val="nil"/>
              <w:tr2bl w:val="nil"/>
            </w:tcBorders>
            <w:noWrap w:val="0"/>
            <w:vAlign w:val="center"/>
          </w:tcPr>
          <w:p>
            <w:pPr>
              <w:jc w:val="both"/>
              <w:rPr>
                <w:lang w:val="en-US" w:eastAsia="zh-CN"/>
              </w:rPr>
            </w:pPr>
          </w:p>
        </w:tc>
        <w:tc>
          <w:tcPr>
            <w:tcW w:w="76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301</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工资福利支出</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68.97</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商品和服务支出</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316.34</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307</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债务利息及费用支出</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30101</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基本工资</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22.16</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30201</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办公费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24.89</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30701</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国内债务付息</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30102</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津贴补贴</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6.48</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30202</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印刷费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0.09</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30702</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国外债务付息</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30103</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奖金</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10.03</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30203</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咨询费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资本性支出</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30106</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伙食补助费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30204</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手续费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31001</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房屋建筑物购建</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30107</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绩效工资</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9.53</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30205</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水费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0.14</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31002</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办公设备购置</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30108</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机关事业单位基本养老保险缴费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6.23</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30206</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电费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0.95</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31003</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专用设备购置</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30109</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职业年金缴费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7.61</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30207</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邮电费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0.61</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31005</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基础设施建设</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30110</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职工基本医疗保险缴费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1.50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30208</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取暖费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31006</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大型修缮</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30111</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公务员医疗补助缴费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30209</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物业管理费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31007</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信息网络及软件购置更新</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30112</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其他社会保障缴费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0.08</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30211</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差旅费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0.16</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31008</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物资储备</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30113</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住房公积金</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5.34</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30212</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因公出国（境）费用</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31009</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土地补偿</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30114</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医疗费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30213</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维修（护）费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11.67</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31010</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安置补助</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30199</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其他工资福利支出</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30214</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租赁费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31011</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地上附着物和青苗补偿</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303</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对个人和家庭的补助</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14.06</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30215</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会议费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31012</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拆迁补偿</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30301</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离休费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30216</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培训费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0.10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31013</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公务用车购置</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30302</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退休费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12.06</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30217</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公务接待费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2.14</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31019</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其他交通工具购置</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30303</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退职（役）费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30218</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专用材料费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31021</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文物和陈列品购置</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30304</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抚恤金</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30224</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被装购置费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31022</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无形资产购置</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30305</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生活补助</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2.00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30225</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专用燃料费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31099</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其他资本性支出</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30306</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救济费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30226</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劳务费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270.86</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399</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其他支出</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30307</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医疗费补助</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30227</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委托业务费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39907</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国家赔偿费用支出</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30308</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助学金</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30228</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工会经费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1.35</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39908</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对民间非营利组织和群众性自治组织补贴</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30309</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奖励金</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30229</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福利费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1.70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39909</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经常性赠与</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30310</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个人农业生产补贴</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30231</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公务用车运行维护费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39910</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资本性赠与</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30311</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代缴社会保险费</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30239</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其他交通费用</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39999</w:t>
            </w:r>
          </w:p>
        </w:tc>
        <w:tc>
          <w:tcPr>
            <w:tcW w:w="20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其他支出</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30399</w:t>
            </w:r>
          </w:p>
        </w:tc>
        <w:tc>
          <w:tcPr>
            <w:tcW w:w="158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其他对个人和家庭的补助</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30240</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税金及附加费用</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pPr>
              <w:jc w:val="both"/>
              <w:rPr>
                <w:lang w:val="en-US" w:eastAsia="zh-CN"/>
              </w:rPr>
            </w:pPr>
          </w:p>
        </w:tc>
        <w:tc>
          <w:tcPr>
            <w:tcW w:w="2040" w:type="dxa"/>
            <w:tcBorders>
              <w:tl2br w:val="nil"/>
              <w:tr2bl w:val="nil"/>
            </w:tcBorders>
            <w:noWrap w:val="0"/>
            <w:vAlign w:val="center"/>
          </w:tcPr>
          <w:p>
            <w:pPr>
              <w:jc w:val="both"/>
              <w:rPr>
                <w:lang w:val="en-US" w:eastAsia="zh-CN"/>
              </w:rPr>
            </w:pPr>
          </w:p>
        </w:tc>
        <w:tc>
          <w:tcPr>
            <w:tcW w:w="766" w:type="dxa"/>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pPr>
              <w:jc w:val="both"/>
              <w:rPr>
                <w:lang w:val="en-US" w:eastAsia="zh-CN"/>
              </w:rPr>
            </w:pPr>
          </w:p>
        </w:tc>
        <w:tc>
          <w:tcPr>
            <w:tcW w:w="1580" w:type="dxa"/>
            <w:tcBorders>
              <w:tl2br w:val="nil"/>
              <w:tr2bl w:val="nil"/>
            </w:tcBorders>
            <w:noWrap w:val="0"/>
            <w:vAlign w:val="center"/>
          </w:tcPr>
          <w:p>
            <w:pPr>
              <w:jc w:val="both"/>
              <w:rPr>
                <w:lang w:val="en-US" w:eastAsia="zh-CN"/>
              </w:rPr>
            </w:pPr>
          </w:p>
        </w:tc>
        <w:tc>
          <w:tcPr>
            <w:tcW w:w="820" w:type="dxa"/>
            <w:tcBorders>
              <w:tl2br w:val="nil"/>
              <w:tr2bl w:val="nil"/>
            </w:tcBorders>
            <w:noWrap w:val="0"/>
            <w:vAlign w:val="center"/>
          </w:tcPr>
          <w:p>
            <w:pPr>
              <w:jc w:val="both"/>
              <w:rPr>
                <w:lang w:val="en-US" w:eastAsia="zh-CN"/>
              </w:rPr>
            </w:pPr>
          </w:p>
        </w:tc>
        <w:tc>
          <w:tcPr>
            <w:tcW w:w="34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30299</w:t>
            </w:r>
          </w:p>
        </w:tc>
        <w:tc>
          <w:tcPr>
            <w:tcW w:w="1260" w:type="dxa"/>
            <w:tcBorders>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 xml:space="preserve">  其他商品和服务支出</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1.68</w:t>
            </w:r>
          </w:p>
        </w:tc>
        <w:tc>
          <w:tcPr>
            <w:tcW w:w="340" w:type="dxa"/>
            <w:tcBorders>
              <w:tl2br w:val="nil"/>
              <w:tr2bl w:val="nil"/>
            </w:tcBorders>
            <w:noWrap w:val="0"/>
            <w:vAlign w:val="center"/>
          </w:tcPr>
          <w:p>
            <w:pPr>
              <w:jc w:val="both"/>
              <w:rPr>
                <w:lang w:val="en-US" w:eastAsia="zh-CN"/>
              </w:rPr>
            </w:pPr>
          </w:p>
        </w:tc>
        <w:tc>
          <w:tcPr>
            <w:tcW w:w="2040" w:type="dxa"/>
            <w:tcBorders>
              <w:tl2br w:val="nil"/>
              <w:tr2bl w:val="nil"/>
            </w:tcBorders>
            <w:noWrap w:val="0"/>
            <w:vAlign w:val="center"/>
          </w:tcPr>
          <w:p>
            <w:pPr>
              <w:jc w:val="both"/>
              <w:rPr>
                <w:lang w:val="en-US" w:eastAsia="zh-CN"/>
              </w:rPr>
            </w:pPr>
          </w:p>
        </w:tc>
        <w:tc>
          <w:tcPr>
            <w:tcW w:w="766" w:type="dxa"/>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gridSpan w:val="2"/>
            <w:tcBorders>
              <w:tl2br w:val="nil"/>
              <w:tr2bl w:val="nil"/>
            </w:tcBorders>
            <w:noWrap w:val="0"/>
            <w:vAlign w:val="center"/>
          </w:tcPr>
          <w:p>
            <w:pPr>
              <w:jc w:val="center"/>
              <w:rPr>
                <w:lang w:val="en-US" w:eastAsia="zh-CN"/>
              </w:rPr>
            </w:pPr>
            <w:r>
              <w:rPr>
                <w:rFonts w:ascii="宋体" w:hAnsi="宋体" w:eastAsia="宋体" w:cs="宋体"/>
                <w:b w:val="0"/>
                <w:i w:val="0"/>
                <w:color w:val="000000"/>
                <w:sz w:val="9"/>
                <w:lang w:val="en-US" w:eastAsia="zh-CN"/>
              </w:rPr>
              <w:t>人员经费合计</w:t>
            </w:r>
          </w:p>
        </w:tc>
        <w:tc>
          <w:tcPr>
            <w:tcW w:w="82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83.03</w:t>
            </w:r>
          </w:p>
        </w:tc>
        <w:tc>
          <w:tcPr>
            <w:tcW w:w="340" w:type="dxa"/>
            <w:gridSpan w:val="5"/>
            <w:tcBorders>
              <w:tl2br w:val="nil"/>
              <w:tr2bl w:val="nil"/>
            </w:tcBorders>
            <w:noWrap w:val="0"/>
            <w:vAlign w:val="center"/>
          </w:tcPr>
          <w:p>
            <w:pPr>
              <w:jc w:val="center"/>
              <w:rPr>
                <w:lang w:val="en-US" w:eastAsia="zh-CN"/>
              </w:rPr>
            </w:pPr>
            <w:r>
              <w:rPr>
                <w:rFonts w:ascii="宋体" w:hAnsi="宋体" w:eastAsia="宋体" w:cs="宋体"/>
                <w:b w:val="0"/>
                <w:i w:val="0"/>
                <w:color w:val="000000"/>
                <w:sz w:val="9"/>
                <w:lang w:val="en-US" w:eastAsia="zh-CN"/>
              </w:rPr>
              <w:t>公用经费合计</w:t>
            </w:r>
          </w:p>
        </w:tc>
        <w:tc>
          <w:tcPr>
            <w:tcW w:w="76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9"/>
                <w:lang w:val="en-US" w:eastAsia="zh-CN"/>
              </w:rPr>
              <w:t>316.34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340" w:type="dxa"/>
            <w:gridSpan w:val="9"/>
            <w:tcBorders>
              <w:left w:val="single" w:color="FFFFFF" w:sz="4" w:space="0"/>
              <w:bottom w:val="single" w:color="FFFFFF" w:sz="4" w:space="0"/>
              <w:right w:val="single" w:color="FFFFFF" w:sz="4" w:space="0"/>
              <w:tl2br w:val="nil"/>
              <w:tr2bl w:val="nil"/>
            </w:tcBorders>
            <w:noWrap w:val="0"/>
            <w:vAlign w:val="center"/>
          </w:tcPr>
          <w:p>
            <w:pPr>
              <w:jc w:val="left"/>
              <w:rPr>
                <w:lang w:val="en-US" w:eastAsia="zh-CN"/>
              </w:rPr>
            </w:pPr>
            <w:r>
              <w:rPr>
                <w:rFonts w:ascii="宋体" w:hAnsi="宋体" w:eastAsia="宋体" w:cs="宋体"/>
                <w:b w:val="0"/>
                <w:i w:val="0"/>
                <w:color w:val="000000"/>
                <w:sz w:val="9"/>
                <w:lang w:val="en-US" w:eastAsia="zh-CN"/>
              </w:rPr>
              <w:t>注：本表反映部门本年度一般公共预算财政拨款基本支出明细情况。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340" w:type="dxa"/>
            <w:gridSpan w:val="9"/>
            <w:tcBorders>
              <w:top w:val="single" w:color="FFFFFF" w:sz="4" w:space="0"/>
              <w:left w:val="single" w:color="FFFFFF" w:sz="4" w:space="0"/>
              <w:bottom w:val="single" w:color="FFFFFF" w:sz="4" w:space="0"/>
              <w:right w:val="single" w:color="FFFFFF" w:sz="4" w:space="0"/>
              <w:tl2br w:val="nil"/>
              <w:tr2bl w:val="nil"/>
            </w:tcBorders>
            <w:noWrap w:val="0"/>
            <w:vAlign w:val="center"/>
          </w:tcPr>
          <w:p>
            <w:pPr>
              <w:jc w:val="both"/>
              <w:rPr>
                <w:lang w:val="en-US" w:eastAsia="zh-CN"/>
              </w:rPr>
            </w:pPr>
          </w:p>
        </w:tc>
      </w:tr>
    </w:tbl>
    <w:p>
      <w:pPr>
        <w:snapToGrid w:val="0"/>
        <w:spacing w:before="0" w:after="0" w:line="0" w:lineRule="auto"/>
        <w:jc w:val="both"/>
        <w:rPr>
          <w:lang w:val="en-US" w:eastAsia="zh-CN"/>
        </w:rPr>
      </w:pPr>
      <w:r>
        <w:rPr>
          <w:sz w:val="8"/>
          <w:lang w:val="en-US" w:eastAsia="zh-CN"/>
        </w:rPr>
        <w:t xml:space="preserve"> </w:t>
      </w:r>
    </w:p>
    <w:p>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政府性基金预算财政拨款收入支出决算表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rPr>
                <w:lang w:val="en-US" w:eastAsia="zh-CN"/>
              </w:rPr>
            </w:pPr>
            <w:r>
              <w:rPr>
                <w:rFonts w:ascii="宋体" w:hAnsi="宋体" w:eastAsia="宋体" w:cs="宋体"/>
                <w:sz w:val="20"/>
                <w:lang w:val="en-US" w:eastAsia="zh-CN"/>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pPr>
              <w:jc w:val="left"/>
              <w:rPr>
                <w:lang w:val="en-US" w:eastAsia="zh-CN"/>
              </w:rPr>
            </w:pPr>
            <w:r>
              <w:rPr>
                <w:rFonts w:ascii="宋体" w:hAnsi="宋体" w:eastAsia="宋体" w:cs="宋体"/>
                <w:sz w:val="20"/>
                <w:lang w:val="en-US" w:eastAsia="zh-CN"/>
              </w:rPr>
              <w:t>单位：通山县九宫山镇财政所本级</w:t>
            </w:r>
          </w:p>
        </w:tc>
        <w:tc>
          <w:tcPr>
            <w:tcW w:w="2000" w:type="dxa"/>
            <w:tcBorders>
              <w:tl2br w:val="nil"/>
              <w:tr2bl w:val="nil"/>
            </w:tcBorders>
            <w:noWrap w:val="0"/>
            <w:vAlign w:val="top"/>
          </w:tcPr>
          <w:p>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pPr>
              <w:jc w:val="right"/>
              <w:rPr>
                <w:lang w:val="en-US" w:eastAsia="zh-CN"/>
              </w:rPr>
            </w:pPr>
            <w:r>
              <w:rPr>
                <w:rFonts w:ascii="宋体" w:hAnsi="宋体" w:eastAsia="宋体" w:cs="宋体"/>
                <w:sz w:val="20"/>
                <w:lang w:val="en-US" w:eastAsia="zh-CN"/>
              </w:rPr>
              <w:t>金额单位：万元</w:t>
            </w:r>
          </w:p>
        </w:tc>
      </w:tr>
    </w:tbl>
    <w:p>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40"/>
        <w:gridCol w:w="2180"/>
        <w:gridCol w:w="940"/>
        <w:gridCol w:w="940"/>
        <w:gridCol w:w="940"/>
        <w:gridCol w:w="940"/>
        <w:gridCol w:w="940"/>
        <w:gridCol w:w="8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gridSpan w:val="2"/>
            <w:noWrap w:val="0"/>
            <w:vAlign w:val="center"/>
          </w:tcPr>
          <w:p>
            <w:pPr>
              <w:jc w:val="center"/>
              <w:rPr>
                <w:lang w:val="en-US" w:eastAsia="zh-CN"/>
              </w:rPr>
            </w:pPr>
            <w:r>
              <w:rPr>
                <w:rFonts w:ascii="宋体" w:hAnsi="宋体" w:eastAsia="宋体" w:cs="宋体"/>
                <w:b w:val="0"/>
                <w:i w:val="0"/>
                <w:color w:val="000000"/>
                <w:sz w:val="12"/>
                <w:lang w:val="en-US" w:eastAsia="zh-CN"/>
              </w:rPr>
              <w:t>项目</w:t>
            </w:r>
          </w:p>
        </w:tc>
        <w:tc>
          <w:tcPr>
            <w:tcW w:w="940" w:type="dxa"/>
            <w:vMerge w:val="restart"/>
            <w:noWrap w:val="0"/>
            <w:vAlign w:val="center"/>
          </w:tcPr>
          <w:p>
            <w:pPr>
              <w:jc w:val="center"/>
              <w:rPr>
                <w:lang w:val="en-US" w:eastAsia="zh-CN"/>
              </w:rPr>
            </w:pPr>
            <w:r>
              <w:rPr>
                <w:rFonts w:ascii="宋体" w:hAnsi="宋体" w:eastAsia="宋体" w:cs="宋体"/>
                <w:b w:val="0"/>
                <w:i w:val="0"/>
                <w:color w:val="000000"/>
                <w:sz w:val="12"/>
                <w:lang w:val="en-US" w:eastAsia="zh-CN"/>
              </w:rPr>
              <w:t>年初结转和结余</w:t>
            </w:r>
          </w:p>
        </w:tc>
        <w:tc>
          <w:tcPr>
            <w:tcW w:w="940" w:type="dxa"/>
            <w:vMerge w:val="restart"/>
            <w:noWrap w:val="0"/>
            <w:vAlign w:val="center"/>
          </w:tcPr>
          <w:p>
            <w:pPr>
              <w:jc w:val="center"/>
              <w:rPr>
                <w:lang w:val="en-US" w:eastAsia="zh-CN"/>
              </w:rPr>
            </w:pPr>
            <w:r>
              <w:rPr>
                <w:rFonts w:ascii="宋体" w:hAnsi="宋体" w:eastAsia="宋体" w:cs="宋体"/>
                <w:b w:val="0"/>
                <w:i w:val="0"/>
                <w:color w:val="000000"/>
                <w:sz w:val="12"/>
                <w:lang w:val="en-US" w:eastAsia="zh-CN"/>
              </w:rPr>
              <w:t>本年收入</w:t>
            </w:r>
          </w:p>
        </w:tc>
        <w:tc>
          <w:tcPr>
            <w:tcW w:w="940" w:type="dxa"/>
            <w:gridSpan w:val="3"/>
            <w:noWrap w:val="0"/>
            <w:vAlign w:val="center"/>
          </w:tcPr>
          <w:p>
            <w:pPr>
              <w:jc w:val="center"/>
              <w:rPr>
                <w:lang w:val="en-US" w:eastAsia="zh-CN"/>
              </w:rPr>
            </w:pPr>
            <w:r>
              <w:rPr>
                <w:rFonts w:ascii="宋体" w:hAnsi="宋体" w:eastAsia="宋体" w:cs="宋体"/>
                <w:b w:val="0"/>
                <w:i w:val="0"/>
                <w:color w:val="000000"/>
                <w:sz w:val="12"/>
                <w:lang w:val="en-US" w:eastAsia="zh-CN"/>
              </w:rPr>
              <w:t>本年支出</w:t>
            </w:r>
          </w:p>
        </w:tc>
        <w:tc>
          <w:tcPr>
            <w:tcW w:w="886" w:type="dxa"/>
            <w:vMerge w:val="restart"/>
            <w:noWrap w:val="0"/>
            <w:vAlign w:val="center"/>
          </w:tcPr>
          <w:p>
            <w:pPr>
              <w:jc w:val="center"/>
              <w:rPr>
                <w:lang w:val="en-US" w:eastAsia="zh-CN"/>
              </w:rPr>
            </w:pPr>
            <w:r>
              <w:rPr>
                <w:rFonts w:ascii="宋体" w:hAnsi="宋体" w:eastAsia="宋体" w:cs="宋体"/>
                <w:b w:val="0"/>
                <w:i w:val="0"/>
                <w:color w:val="000000"/>
                <w:sz w:val="12"/>
                <w:lang w:val="en-US" w:eastAsia="zh-CN"/>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科目代码</w:t>
            </w:r>
          </w:p>
        </w:tc>
        <w:tc>
          <w:tcPr>
            <w:tcW w:w="218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科目名称</w:t>
            </w:r>
          </w:p>
        </w:tc>
        <w:tc>
          <w:tcPr>
            <w:tcW w:w="940" w:type="dxa"/>
            <w:vMerge w:val="continue"/>
            <w:tcBorders>
              <w:tl2br w:val="nil"/>
              <w:tr2bl w:val="nil"/>
            </w:tcBorders>
            <w:noWrap w:val="0"/>
            <w:vAlign w:val="center"/>
          </w:tcPr>
          <w:p>
            <w:pPr>
              <w:jc w:val="both"/>
              <w:rPr>
                <w:lang w:val="en-US" w:eastAsia="zh-CN"/>
              </w:rPr>
            </w:pPr>
          </w:p>
        </w:tc>
        <w:tc>
          <w:tcPr>
            <w:tcW w:w="940" w:type="dxa"/>
            <w:vMerge w:val="continue"/>
            <w:tcBorders>
              <w:tl2br w:val="nil"/>
              <w:tr2bl w:val="nil"/>
            </w:tcBorders>
            <w:noWrap w:val="0"/>
            <w:vAlign w:val="center"/>
          </w:tcPr>
          <w:p>
            <w:pPr>
              <w:jc w:val="both"/>
              <w:rPr>
                <w:lang w:val="en-US" w:eastAsia="zh-CN"/>
              </w:rPr>
            </w:pPr>
          </w:p>
        </w:tc>
        <w:tc>
          <w:tcPr>
            <w:tcW w:w="94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小计</w:t>
            </w:r>
          </w:p>
        </w:tc>
        <w:tc>
          <w:tcPr>
            <w:tcW w:w="94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基本支出</w:t>
            </w:r>
          </w:p>
        </w:tc>
        <w:tc>
          <w:tcPr>
            <w:tcW w:w="94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项目支出</w:t>
            </w:r>
          </w:p>
        </w:tc>
        <w:tc>
          <w:tcPr>
            <w:tcW w:w="88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vMerge w:val="continue"/>
            <w:tcBorders>
              <w:tl2br w:val="nil"/>
              <w:tr2bl w:val="nil"/>
            </w:tcBorders>
            <w:noWrap w:val="0"/>
            <w:vAlign w:val="center"/>
          </w:tcPr>
          <w:p>
            <w:pPr>
              <w:jc w:val="both"/>
              <w:rPr>
                <w:lang w:val="en-US" w:eastAsia="zh-CN"/>
              </w:rPr>
            </w:pPr>
          </w:p>
        </w:tc>
        <w:tc>
          <w:tcPr>
            <w:tcW w:w="2180" w:type="dxa"/>
            <w:vMerge w:val="continue"/>
            <w:tcBorders>
              <w:tl2br w:val="nil"/>
              <w:tr2bl w:val="nil"/>
            </w:tcBorders>
            <w:noWrap w:val="0"/>
            <w:vAlign w:val="center"/>
          </w:tcPr>
          <w:p>
            <w:pPr>
              <w:jc w:val="both"/>
              <w:rPr>
                <w:lang w:val="en-US" w:eastAsia="zh-CN"/>
              </w:rPr>
            </w:pPr>
          </w:p>
        </w:tc>
        <w:tc>
          <w:tcPr>
            <w:tcW w:w="940" w:type="dxa"/>
            <w:vMerge w:val="continue"/>
            <w:tcBorders>
              <w:tl2br w:val="nil"/>
              <w:tr2bl w:val="nil"/>
            </w:tcBorders>
            <w:noWrap w:val="0"/>
            <w:vAlign w:val="center"/>
          </w:tcPr>
          <w:p>
            <w:pPr>
              <w:jc w:val="both"/>
              <w:rPr>
                <w:lang w:val="en-US" w:eastAsia="zh-CN"/>
              </w:rPr>
            </w:pPr>
          </w:p>
        </w:tc>
        <w:tc>
          <w:tcPr>
            <w:tcW w:w="940" w:type="dxa"/>
            <w:vMerge w:val="continue"/>
            <w:tcBorders>
              <w:tl2br w:val="nil"/>
              <w:tr2bl w:val="nil"/>
            </w:tcBorders>
            <w:noWrap w:val="0"/>
            <w:vAlign w:val="center"/>
          </w:tcPr>
          <w:p>
            <w:pPr>
              <w:jc w:val="both"/>
              <w:rPr>
                <w:lang w:val="en-US" w:eastAsia="zh-CN"/>
              </w:rPr>
            </w:pPr>
          </w:p>
        </w:tc>
        <w:tc>
          <w:tcPr>
            <w:tcW w:w="940" w:type="dxa"/>
            <w:vMerge w:val="continue"/>
            <w:tcBorders>
              <w:tl2br w:val="nil"/>
              <w:tr2bl w:val="nil"/>
            </w:tcBorders>
            <w:noWrap w:val="0"/>
            <w:vAlign w:val="center"/>
          </w:tcPr>
          <w:p>
            <w:pPr>
              <w:jc w:val="both"/>
              <w:rPr>
                <w:lang w:val="en-US" w:eastAsia="zh-CN"/>
              </w:rPr>
            </w:pPr>
          </w:p>
        </w:tc>
        <w:tc>
          <w:tcPr>
            <w:tcW w:w="940" w:type="dxa"/>
            <w:vMerge w:val="continue"/>
            <w:tcBorders>
              <w:tl2br w:val="nil"/>
              <w:tr2bl w:val="nil"/>
            </w:tcBorders>
            <w:noWrap w:val="0"/>
            <w:vAlign w:val="center"/>
          </w:tcPr>
          <w:p>
            <w:pPr>
              <w:jc w:val="both"/>
              <w:rPr>
                <w:lang w:val="en-US" w:eastAsia="zh-CN"/>
              </w:rPr>
            </w:pPr>
          </w:p>
        </w:tc>
        <w:tc>
          <w:tcPr>
            <w:tcW w:w="940" w:type="dxa"/>
            <w:vMerge w:val="continue"/>
            <w:tcBorders>
              <w:tl2br w:val="nil"/>
              <w:tr2bl w:val="nil"/>
            </w:tcBorders>
            <w:noWrap w:val="0"/>
            <w:vAlign w:val="center"/>
          </w:tcPr>
          <w:p>
            <w:pPr>
              <w:jc w:val="both"/>
              <w:rPr>
                <w:lang w:val="en-US" w:eastAsia="zh-CN"/>
              </w:rPr>
            </w:pPr>
          </w:p>
        </w:tc>
        <w:tc>
          <w:tcPr>
            <w:tcW w:w="88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vMerge w:val="continue"/>
            <w:tcBorders>
              <w:tl2br w:val="nil"/>
              <w:tr2bl w:val="nil"/>
            </w:tcBorders>
            <w:noWrap w:val="0"/>
            <w:vAlign w:val="center"/>
          </w:tcPr>
          <w:p>
            <w:pPr>
              <w:jc w:val="both"/>
              <w:rPr>
                <w:lang w:val="en-US" w:eastAsia="zh-CN"/>
              </w:rPr>
            </w:pPr>
          </w:p>
        </w:tc>
        <w:tc>
          <w:tcPr>
            <w:tcW w:w="2180" w:type="dxa"/>
            <w:vMerge w:val="continue"/>
            <w:tcBorders>
              <w:tl2br w:val="nil"/>
              <w:tr2bl w:val="nil"/>
            </w:tcBorders>
            <w:noWrap w:val="0"/>
            <w:vAlign w:val="center"/>
          </w:tcPr>
          <w:p>
            <w:pPr>
              <w:jc w:val="both"/>
              <w:rPr>
                <w:lang w:val="en-US" w:eastAsia="zh-CN"/>
              </w:rPr>
            </w:pPr>
          </w:p>
        </w:tc>
        <w:tc>
          <w:tcPr>
            <w:tcW w:w="940" w:type="dxa"/>
            <w:vMerge w:val="continue"/>
            <w:tcBorders>
              <w:tl2br w:val="nil"/>
              <w:tr2bl w:val="nil"/>
            </w:tcBorders>
            <w:noWrap w:val="0"/>
            <w:vAlign w:val="center"/>
          </w:tcPr>
          <w:p>
            <w:pPr>
              <w:jc w:val="both"/>
              <w:rPr>
                <w:lang w:val="en-US" w:eastAsia="zh-CN"/>
              </w:rPr>
            </w:pPr>
          </w:p>
        </w:tc>
        <w:tc>
          <w:tcPr>
            <w:tcW w:w="940" w:type="dxa"/>
            <w:vMerge w:val="continue"/>
            <w:tcBorders>
              <w:tl2br w:val="nil"/>
              <w:tr2bl w:val="nil"/>
            </w:tcBorders>
            <w:noWrap w:val="0"/>
            <w:vAlign w:val="center"/>
          </w:tcPr>
          <w:p>
            <w:pPr>
              <w:jc w:val="both"/>
              <w:rPr>
                <w:lang w:val="en-US" w:eastAsia="zh-CN"/>
              </w:rPr>
            </w:pPr>
          </w:p>
        </w:tc>
        <w:tc>
          <w:tcPr>
            <w:tcW w:w="940" w:type="dxa"/>
            <w:vMerge w:val="continue"/>
            <w:tcBorders>
              <w:tl2br w:val="nil"/>
              <w:tr2bl w:val="nil"/>
            </w:tcBorders>
            <w:noWrap w:val="0"/>
            <w:vAlign w:val="center"/>
          </w:tcPr>
          <w:p>
            <w:pPr>
              <w:jc w:val="both"/>
              <w:rPr>
                <w:lang w:val="en-US" w:eastAsia="zh-CN"/>
              </w:rPr>
            </w:pPr>
          </w:p>
        </w:tc>
        <w:tc>
          <w:tcPr>
            <w:tcW w:w="940" w:type="dxa"/>
            <w:vMerge w:val="continue"/>
            <w:tcBorders>
              <w:tl2br w:val="nil"/>
              <w:tr2bl w:val="nil"/>
            </w:tcBorders>
            <w:noWrap w:val="0"/>
            <w:vAlign w:val="center"/>
          </w:tcPr>
          <w:p>
            <w:pPr>
              <w:jc w:val="both"/>
              <w:rPr>
                <w:lang w:val="en-US" w:eastAsia="zh-CN"/>
              </w:rPr>
            </w:pPr>
          </w:p>
        </w:tc>
        <w:tc>
          <w:tcPr>
            <w:tcW w:w="940" w:type="dxa"/>
            <w:vMerge w:val="continue"/>
            <w:tcBorders>
              <w:tl2br w:val="nil"/>
              <w:tr2bl w:val="nil"/>
            </w:tcBorders>
            <w:noWrap w:val="0"/>
            <w:vAlign w:val="center"/>
          </w:tcPr>
          <w:p>
            <w:pPr>
              <w:jc w:val="both"/>
              <w:rPr>
                <w:lang w:val="en-US" w:eastAsia="zh-CN"/>
              </w:rPr>
            </w:pPr>
          </w:p>
        </w:tc>
        <w:tc>
          <w:tcPr>
            <w:tcW w:w="88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gridSpan w:val="2"/>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栏次</w:t>
            </w:r>
          </w:p>
        </w:tc>
        <w:tc>
          <w:tcPr>
            <w:tcW w:w="9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1</w:t>
            </w:r>
          </w:p>
        </w:tc>
        <w:tc>
          <w:tcPr>
            <w:tcW w:w="9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2</w:t>
            </w:r>
          </w:p>
        </w:tc>
        <w:tc>
          <w:tcPr>
            <w:tcW w:w="9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3</w:t>
            </w:r>
          </w:p>
        </w:tc>
        <w:tc>
          <w:tcPr>
            <w:tcW w:w="9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4</w:t>
            </w:r>
          </w:p>
        </w:tc>
        <w:tc>
          <w:tcPr>
            <w:tcW w:w="94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5</w:t>
            </w:r>
          </w:p>
        </w:tc>
        <w:tc>
          <w:tcPr>
            <w:tcW w:w="886"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gridSpan w:val="2"/>
            <w:tcBorders>
              <w:tl2br w:val="nil"/>
              <w:tr2bl w:val="nil"/>
            </w:tcBorders>
            <w:noWrap w:val="0"/>
            <w:vAlign w:val="center"/>
          </w:tcPr>
          <w:p>
            <w:pPr>
              <w:jc w:val="center"/>
              <w:rPr>
                <w:lang w:val="en-US" w:eastAsia="zh-CN"/>
              </w:rPr>
            </w:pPr>
            <w:r>
              <w:rPr>
                <w:rFonts w:ascii="宋体" w:hAnsi="宋体" w:eastAsia="宋体" w:cs="宋体"/>
                <w:b w:val="0"/>
                <w:i w:val="0"/>
                <w:color w:val="000000"/>
                <w:sz w:val="12"/>
                <w:lang w:val="en-US" w:eastAsia="zh-CN"/>
              </w:rPr>
              <w:t>合计</w:t>
            </w:r>
          </w:p>
        </w:tc>
        <w:tc>
          <w:tcPr>
            <w:tcW w:w="940" w:type="dxa"/>
            <w:tcBorders>
              <w:tl2br w:val="nil"/>
              <w:tr2bl w:val="nil"/>
            </w:tcBorders>
            <w:noWrap w:val="0"/>
            <w:vAlign w:val="center"/>
          </w:tcPr>
          <w:p>
            <w:pPr>
              <w:jc w:val="both"/>
              <w:rPr>
                <w:lang w:val="en-US" w:eastAsia="zh-CN"/>
              </w:rPr>
            </w:pPr>
          </w:p>
        </w:tc>
        <w:tc>
          <w:tcPr>
            <w:tcW w:w="940" w:type="dxa"/>
            <w:tcBorders>
              <w:tl2br w:val="nil"/>
              <w:tr2bl w:val="nil"/>
            </w:tcBorders>
            <w:noWrap w:val="0"/>
            <w:vAlign w:val="center"/>
          </w:tcPr>
          <w:p>
            <w:pPr>
              <w:jc w:val="both"/>
              <w:rPr>
                <w:lang w:val="en-US" w:eastAsia="zh-CN"/>
              </w:rPr>
            </w:pPr>
          </w:p>
        </w:tc>
        <w:tc>
          <w:tcPr>
            <w:tcW w:w="940" w:type="dxa"/>
            <w:tcBorders>
              <w:tl2br w:val="nil"/>
              <w:tr2bl w:val="nil"/>
            </w:tcBorders>
            <w:noWrap w:val="0"/>
            <w:vAlign w:val="center"/>
          </w:tcPr>
          <w:p>
            <w:pPr>
              <w:jc w:val="both"/>
              <w:rPr>
                <w:lang w:val="en-US" w:eastAsia="zh-CN"/>
              </w:rPr>
            </w:pPr>
          </w:p>
        </w:tc>
        <w:tc>
          <w:tcPr>
            <w:tcW w:w="940" w:type="dxa"/>
            <w:tcBorders>
              <w:tl2br w:val="nil"/>
              <w:tr2bl w:val="nil"/>
            </w:tcBorders>
            <w:noWrap w:val="0"/>
            <w:vAlign w:val="center"/>
          </w:tcPr>
          <w:p>
            <w:pPr>
              <w:jc w:val="both"/>
              <w:rPr>
                <w:lang w:val="en-US" w:eastAsia="zh-CN"/>
              </w:rPr>
            </w:pPr>
          </w:p>
        </w:tc>
        <w:tc>
          <w:tcPr>
            <w:tcW w:w="940" w:type="dxa"/>
            <w:tcBorders>
              <w:tl2br w:val="nil"/>
              <w:tr2bl w:val="nil"/>
            </w:tcBorders>
            <w:noWrap w:val="0"/>
            <w:vAlign w:val="center"/>
          </w:tcPr>
          <w:p>
            <w:pPr>
              <w:jc w:val="both"/>
              <w:rPr>
                <w:lang w:val="en-US" w:eastAsia="zh-CN"/>
              </w:rPr>
            </w:pPr>
          </w:p>
        </w:tc>
        <w:tc>
          <w:tcPr>
            <w:tcW w:w="886" w:type="dxa"/>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tcBorders>
              <w:tl2br w:val="nil"/>
              <w:tr2bl w:val="nil"/>
            </w:tcBorders>
            <w:noWrap w:val="0"/>
            <w:vAlign w:val="center"/>
          </w:tcPr>
          <w:p>
            <w:pPr>
              <w:jc w:val="both"/>
              <w:rPr>
                <w:lang w:val="en-US" w:eastAsia="zh-CN"/>
              </w:rPr>
            </w:pPr>
          </w:p>
        </w:tc>
        <w:tc>
          <w:tcPr>
            <w:tcW w:w="2180" w:type="dxa"/>
            <w:tcBorders>
              <w:tl2br w:val="nil"/>
              <w:tr2bl w:val="nil"/>
            </w:tcBorders>
            <w:noWrap w:val="0"/>
            <w:vAlign w:val="center"/>
          </w:tcPr>
          <w:p>
            <w:pPr>
              <w:jc w:val="both"/>
              <w:rPr>
                <w:lang w:val="en-US" w:eastAsia="zh-CN"/>
              </w:rPr>
            </w:pPr>
          </w:p>
        </w:tc>
        <w:tc>
          <w:tcPr>
            <w:tcW w:w="940" w:type="dxa"/>
            <w:tcBorders>
              <w:tl2br w:val="nil"/>
              <w:tr2bl w:val="nil"/>
            </w:tcBorders>
            <w:noWrap w:val="0"/>
            <w:vAlign w:val="center"/>
          </w:tcPr>
          <w:p>
            <w:pPr>
              <w:jc w:val="both"/>
              <w:rPr>
                <w:lang w:val="en-US" w:eastAsia="zh-CN"/>
              </w:rPr>
            </w:pPr>
          </w:p>
        </w:tc>
        <w:tc>
          <w:tcPr>
            <w:tcW w:w="940" w:type="dxa"/>
            <w:tcBorders>
              <w:tl2br w:val="nil"/>
              <w:tr2bl w:val="nil"/>
            </w:tcBorders>
            <w:noWrap w:val="0"/>
            <w:vAlign w:val="center"/>
          </w:tcPr>
          <w:p>
            <w:pPr>
              <w:jc w:val="both"/>
              <w:rPr>
                <w:lang w:val="en-US" w:eastAsia="zh-CN"/>
              </w:rPr>
            </w:pPr>
          </w:p>
        </w:tc>
        <w:tc>
          <w:tcPr>
            <w:tcW w:w="940" w:type="dxa"/>
            <w:tcBorders>
              <w:tl2br w:val="nil"/>
              <w:tr2bl w:val="nil"/>
            </w:tcBorders>
            <w:noWrap w:val="0"/>
            <w:vAlign w:val="center"/>
          </w:tcPr>
          <w:p>
            <w:pPr>
              <w:jc w:val="both"/>
              <w:rPr>
                <w:lang w:val="en-US" w:eastAsia="zh-CN"/>
              </w:rPr>
            </w:pPr>
          </w:p>
        </w:tc>
        <w:tc>
          <w:tcPr>
            <w:tcW w:w="940" w:type="dxa"/>
            <w:tcBorders>
              <w:tl2br w:val="nil"/>
              <w:tr2bl w:val="nil"/>
            </w:tcBorders>
            <w:noWrap w:val="0"/>
            <w:vAlign w:val="center"/>
          </w:tcPr>
          <w:p>
            <w:pPr>
              <w:jc w:val="both"/>
              <w:rPr>
                <w:lang w:val="en-US" w:eastAsia="zh-CN"/>
              </w:rPr>
            </w:pPr>
          </w:p>
        </w:tc>
        <w:tc>
          <w:tcPr>
            <w:tcW w:w="940" w:type="dxa"/>
            <w:tcBorders>
              <w:tl2br w:val="nil"/>
              <w:tr2bl w:val="nil"/>
            </w:tcBorders>
            <w:noWrap w:val="0"/>
            <w:vAlign w:val="center"/>
          </w:tcPr>
          <w:p>
            <w:pPr>
              <w:jc w:val="both"/>
              <w:rPr>
                <w:lang w:val="en-US" w:eastAsia="zh-CN"/>
              </w:rPr>
            </w:pPr>
          </w:p>
        </w:tc>
        <w:tc>
          <w:tcPr>
            <w:tcW w:w="886" w:type="dxa"/>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注：本表反映部门本年度政府性基金预算财政拨款收入、支出及结转和结余情况。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gridSpan w:val="8"/>
            <w:tcBorders>
              <w:top w:val="single" w:color="FFFFFF" w:sz="4" w:space="0"/>
              <w:left w:val="single" w:color="FFFFFF" w:sz="4" w:space="0"/>
              <w:bottom w:val="single" w:color="FFFFFF" w:sz="4" w:space="0"/>
              <w:right w:val="single" w:color="FFFFFF" w:sz="4" w:space="0"/>
              <w:tl2br w:val="nil"/>
              <w:tr2bl w:val="nil"/>
            </w:tcBorders>
            <w:noWrap w:val="0"/>
            <w:vAlign w:val="center"/>
          </w:tcPr>
          <w:p>
            <w:pPr>
              <w:jc w:val="left"/>
              <w:rPr>
                <w:lang w:val="en-US" w:eastAsia="zh-CN"/>
              </w:rPr>
            </w:pPr>
            <w:r>
              <w:rPr>
                <w:rFonts w:ascii="宋体" w:hAnsi="宋体" w:eastAsia="宋体" w:cs="宋体"/>
                <w:b w:val="0"/>
                <w:i w:val="0"/>
                <w:color w:val="000000"/>
                <w:sz w:val="12"/>
                <w:lang w:val="en-US" w:eastAsia="zh-CN"/>
              </w:rPr>
              <w:t>本部门2024年度无政府性基金预算财政拨款收入支出。</w:t>
            </w:r>
          </w:p>
        </w:tc>
      </w:tr>
    </w:tbl>
    <w:p>
      <w:pPr>
        <w:snapToGrid w:val="0"/>
        <w:spacing w:before="0" w:after="0" w:line="0" w:lineRule="auto"/>
        <w:jc w:val="both"/>
        <w:rPr>
          <w:lang w:val="en-US" w:eastAsia="zh-CN"/>
        </w:rPr>
      </w:pPr>
      <w:r>
        <w:rPr>
          <w:sz w:val="8"/>
          <w:lang w:val="en-US" w:eastAsia="zh-CN"/>
        </w:rPr>
        <w:t xml:space="preserve"> </w:t>
      </w:r>
    </w:p>
    <w:p>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国有资本经营预算财政拨款支出决算表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rPr>
                <w:lang w:val="en-US" w:eastAsia="zh-CN"/>
              </w:rPr>
            </w:pPr>
            <w:r>
              <w:rPr>
                <w:rFonts w:ascii="宋体" w:hAnsi="宋体" w:eastAsia="宋体" w:cs="宋体"/>
                <w:sz w:val="20"/>
                <w:lang w:val="en-US" w:eastAsia="zh-CN"/>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pPr>
              <w:jc w:val="left"/>
              <w:rPr>
                <w:lang w:val="en-US" w:eastAsia="zh-CN"/>
              </w:rPr>
            </w:pPr>
            <w:r>
              <w:rPr>
                <w:rFonts w:ascii="宋体" w:hAnsi="宋体" w:eastAsia="宋体" w:cs="宋体"/>
                <w:sz w:val="20"/>
                <w:lang w:val="en-US" w:eastAsia="zh-CN"/>
              </w:rPr>
              <w:t>单位：通山县九宫山镇财政所本级</w:t>
            </w:r>
          </w:p>
        </w:tc>
        <w:tc>
          <w:tcPr>
            <w:tcW w:w="2000" w:type="dxa"/>
            <w:tcBorders>
              <w:tl2br w:val="nil"/>
              <w:tr2bl w:val="nil"/>
            </w:tcBorders>
            <w:noWrap w:val="0"/>
            <w:vAlign w:val="top"/>
          </w:tcPr>
          <w:p>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pPr>
              <w:jc w:val="right"/>
              <w:rPr>
                <w:lang w:val="en-US" w:eastAsia="zh-CN"/>
              </w:rPr>
            </w:pPr>
            <w:r>
              <w:rPr>
                <w:rFonts w:ascii="宋体" w:hAnsi="宋体" w:eastAsia="宋体" w:cs="宋体"/>
                <w:sz w:val="20"/>
                <w:lang w:val="en-US" w:eastAsia="zh-CN"/>
              </w:rPr>
              <w:t>金额单位：万元</w:t>
            </w:r>
          </w:p>
        </w:tc>
      </w:tr>
    </w:tbl>
    <w:p>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840"/>
        <w:gridCol w:w="3280"/>
        <w:gridCol w:w="1400"/>
        <w:gridCol w:w="1400"/>
        <w:gridCol w:w="13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2"/>
            <w:noWrap w:val="0"/>
            <w:vAlign w:val="center"/>
          </w:tcPr>
          <w:p>
            <w:pPr>
              <w:jc w:val="center"/>
              <w:rPr>
                <w:lang w:val="en-US" w:eastAsia="zh-CN"/>
              </w:rPr>
            </w:pPr>
            <w:r>
              <w:rPr>
                <w:rFonts w:ascii="宋体" w:hAnsi="宋体" w:eastAsia="宋体" w:cs="宋体"/>
                <w:b w:val="0"/>
                <w:i w:val="0"/>
                <w:color w:val="000000"/>
                <w:sz w:val="18"/>
                <w:lang w:val="en-US" w:eastAsia="zh-CN"/>
              </w:rPr>
              <w:t>项目</w:t>
            </w:r>
          </w:p>
        </w:tc>
        <w:tc>
          <w:tcPr>
            <w:tcW w:w="1400" w:type="dxa"/>
            <w:gridSpan w:val="3"/>
            <w:noWrap w:val="0"/>
            <w:vAlign w:val="center"/>
          </w:tcPr>
          <w:p>
            <w:pPr>
              <w:jc w:val="center"/>
              <w:rPr>
                <w:lang w:val="en-US" w:eastAsia="zh-CN"/>
              </w:rPr>
            </w:pPr>
            <w:r>
              <w:rPr>
                <w:rFonts w:ascii="宋体" w:hAnsi="宋体" w:eastAsia="宋体" w:cs="宋体"/>
                <w:b w:val="0"/>
                <w:i w:val="0"/>
                <w:color w:val="000000"/>
                <w:sz w:val="18"/>
                <w:lang w:val="en-US" w:eastAsia="zh-CN"/>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8"/>
                <w:lang w:val="en-US" w:eastAsia="zh-CN"/>
              </w:rPr>
              <w:t>科目代码</w:t>
            </w:r>
          </w:p>
        </w:tc>
        <w:tc>
          <w:tcPr>
            <w:tcW w:w="328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8"/>
                <w:lang w:val="en-US" w:eastAsia="zh-CN"/>
              </w:rPr>
              <w:t>科目名称</w:t>
            </w:r>
          </w:p>
        </w:tc>
        <w:tc>
          <w:tcPr>
            <w:tcW w:w="140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8"/>
                <w:lang w:val="en-US" w:eastAsia="zh-CN"/>
              </w:rPr>
              <w:t>合计</w:t>
            </w:r>
          </w:p>
        </w:tc>
        <w:tc>
          <w:tcPr>
            <w:tcW w:w="140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8"/>
                <w:lang w:val="en-US" w:eastAsia="zh-CN"/>
              </w:rPr>
              <w:t>基本支出</w:t>
            </w:r>
          </w:p>
        </w:tc>
        <w:tc>
          <w:tcPr>
            <w:tcW w:w="1386"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8"/>
                <w:lang w:val="en-US" w:eastAsia="zh-CN"/>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vMerge w:val="continue"/>
            <w:tcBorders>
              <w:tl2br w:val="nil"/>
              <w:tr2bl w:val="nil"/>
            </w:tcBorders>
            <w:noWrap w:val="0"/>
            <w:vAlign w:val="center"/>
          </w:tcPr>
          <w:p>
            <w:pPr>
              <w:jc w:val="both"/>
              <w:rPr>
                <w:lang w:val="en-US" w:eastAsia="zh-CN"/>
              </w:rPr>
            </w:pPr>
          </w:p>
        </w:tc>
        <w:tc>
          <w:tcPr>
            <w:tcW w:w="3280" w:type="dxa"/>
            <w:vMerge w:val="continue"/>
            <w:tcBorders>
              <w:tl2br w:val="nil"/>
              <w:tr2bl w:val="nil"/>
            </w:tcBorders>
            <w:noWrap w:val="0"/>
            <w:vAlign w:val="center"/>
          </w:tcPr>
          <w:p>
            <w:pPr>
              <w:jc w:val="both"/>
              <w:rPr>
                <w:lang w:val="en-US" w:eastAsia="zh-CN"/>
              </w:rPr>
            </w:pPr>
          </w:p>
        </w:tc>
        <w:tc>
          <w:tcPr>
            <w:tcW w:w="1400" w:type="dxa"/>
            <w:vMerge w:val="continue"/>
            <w:tcBorders>
              <w:tl2br w:val="nil"/>
              <w:tr2bl w:val="nil"/>
            </w:tcBorders>
            <w:noWrap w:val="0"/>
            <w:vAlign w:val="center"/>
          </w:tcPr>
          <w:p>
            <w:pPr>
              <w:jc w:val="both"/>
              <w:rPr>
                <w:lang w:val="en-US" w:eastAsia="zh-CN"/>
              </w:rPr>
            </w:pPr>
          </w:p>
        </w:tc>
        <w:tc>
          <w:tcPr>
            <w:tcW w:w="1400" w:type="dxa"/>
            <w:vMerge w:val="continue"/>
            <w:tcBorders>
              <w:tl2br w:val="nil"/>
              <w:tr2bl w:val="nil"/>
            </w:tcBorders>
            <w:noWrap w:val="0"/>
            <w:vAlign w:val="center"/>
          </w:tcPr>
          <w:p>
            <w:pPr>
              <w:jc w:val="both"/>
              <w:rPr>
                <w:lang w:val="en-US" w:eastAsia="zh-CN"/>
              </w:rPr>
            </w:pPr>
          </w:p>
        </w:tc>
        <w:tc>
          <w:tcPr>
            <w:tcW w:w="138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vMerge w:val="continue"/>
            <w:tcBorders>
              <w:tl2br w:val="nil"/>
              <w:tr2bl w:val="nil"/>
            </w:tcBorders>
            <w:noWrap w:val="0"/>
            <w:vAlign w:val="center"/>
          </w:tcPr>
          <w:p>
            <w:pPr>
              <w:jc w:val="both"/>
              <w:rPr>
                <w:lang w:val="en-US" w:eastAsia="zh-CN"/>
              </w:rPr>
            </w:pPr>
          </w:p>
        </w:tc>
        <w:tc>
          <w:tcPr>
            <w:tcW w:w="3280" w:type="dxa"/>
            <w:vMerge w:val="continue"/>
            <w:tcBorders>
              <w:tl2br w:val="nil"/>
              <w:tr2bl w:val="nil"/>
            </w:tcBorders>
            <w:noWrap w:val="0"/>
            <w:vAlign w:val="center"/>
          </w:tcPr>
          <w:p>
            <w:pPr>
              <w:jc w:val="both"/>
              <w:rPr>
                <w:lang w:val="en-US" w:eastAsia="zh-CN"/>
              </w:rPr>
            </w:pPr>
          </w:p>
        </w:tc>
        <w:tc>
          <w:tcPr>
            <w:tcW w:w="1400" w:type="dxa"/>
            <w:vMerge w:val="continue"/>
            <w:tcBorders>
              <w:tl2br w:val="nil"/>
              <w:tr2bl w:val="nil"/>
            </w:tcBorders>
            <w:noWrap w:val="0"/>
            <w:vAlign w:val="center"/>
          </w:tcPr>
          <w:p>
            <w:pPr>
              <w:jc w:val="both"/>
              <w:rPr>
                <w:lang w:val="en-US" w:eastAsia="zh-CN"/>
              </w:rPr>
            </w:pPr>
          </w:p>
        </w:tc>
        <w:tc>
          <w:tcPr>
            <w:tcW w:w="1400" w:type="dxa"/>
            <w:vMerge w:val="continue"/>
            <w:tcBorders>
              <w:tl2br w:val="nil"/>
              <w:tr2bl w:val="nil"/>
            </w:tcBorders>
            <w:noWrap w:val="0"/>
            <w:vAlign w:val="center"/>
          </w:tcPr>
          <w:p>
            <w:pPr>
              <w:jc w:val="both"/>
              <w:rPr>
                <w:lang w:val="en-US" w:eastAsia="zh-CN"/>
              </w:rPr>
            </w:pPr>
          </w:p>
        </w:tc>
        <w:tc>
          <w:tcPr>
            <w:tcW w:w="138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2"/>
            <w:tcBorders>
              <w:tl2br w:val="nil"/>
              <w:tr2bl w:val="nil"/>
            </w:tcBorders>
            <w:noWrap w:val="0"/>
            <w:vAlign w:val="center"/>
          </w:tcPr>
          <w:p>
            <w:pPr>
              <w:jc w:val="center"/>
              <w:rPr>
                <w:lang w:val="en-US" w:eastAsia="zh-CN"/>
              </w:rPr>
            </w:pPr>
            <w:r>
              <w:rPr>
                <w:rFonts w:ascii="宋体" w:hAnsi="宋体" w:eastAsia="宋体" w:cs="宋体"/>
                <w:b w:val="0"/>
                <w:i w:val="0"/>
                <w:color w:val="000000"/>
                <w:sz w:val="18"/>
                <w:lang w:val="en-US" w:eastAsia="zh-CN"/>
              </w:rPr>
              <w:t>栏次</w:t>
            </w:r>
          </w:p>
        </w:tc>
        <w:tc>
          <w:tcPr>
            <w:tcW w:w="14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8"/>
                <w:lang w:val="en-US" w:eastAsia="zh-CN"/>
              </w:rPr>
              <w:t>1</w:t>
            </w:r>
          </w:p>
        </w:tc>
        <w:tc>
          <w:tcPr>
            <w:tcW w:w="14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8"/>
                <w:lang w:val="en-US" w:eastAsia="zh-CN"/>
              </w:rPr>
              <w:t>2</w:t>
            </w:r>
          </w:p>
        </w:tc>
        <w:tc>
          <w:tcPr>
            <w:tcW w:w="1386"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8"/>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2"/>
            <w:tcBorders>
              <w:tl2br w:val="nil"/>
              <w:tr2bl w:val="nil"/>
            </w:tcBorders>
            <w:noWrap w:val="0"/>
            <w:vAlign w:val="center"/>
          </w:tcPr>
          <w:p>
            <w:pPr>
              <w:jc w:val="center"/>
              <w:rPr>
                <w:lang w:val="en-US" w:eastAsia="zh-CN"/>
              </w:rPr>
            </w:pPr>
            <w:r>
              <w:rPr>
                <w:rFonts w:ascii="宋体" w:hAnsi="宋体" w:eastAsia="宋体" w:cs="宋体"/>
                <w:b w:val="0"/>
                <w:i w:val="0"/>
                <w:color w:val="000000"/>
                <w:sz w:val="18"/>
                <w:lang w:val="en-US" w:eastAsia="zh-CN"/>
              </w:rPr>
              <w:t>合计</w:t>
            </w:r>
          </w:p>
        </w:tc>
        <w:tc>
          <w:tcPr>
            <w:tcW w:w="1400" w:type="dxa"/>
            <w:tcBorders>
              <w:tl2br w:val="nil"/>
              <w:tr2bl w:val="nil"/>
            </w:tcBorders>
            <w:noWrap w:val="0"/>
            <w:vAlign w:val="center"/>
          </w:tcPr>
          <w:p>
            <w:pPr>
              <w:jc w:val="both"/>
              <w:rPr>
                <w:lang w:val="en-US" w:eastAsia="zh-CN"/>
              </w:rPr>
            </w:pPr>
          </w:p>
        </w:tc>
        <w:tc>
          <w:tcPr>
            <w:tcW w:w="1400" w:type="dxa"/>
            <w:tcBorders>
              <w:tl2br w:val="nil"/>
              <w:tr2bl w:val="nil"/>
            </w:tcBorders>
            <w:noWrap w:val="0"/>
            <w:vAlign w:val="center"/>
          </w:tcPr>
          <w:p>
            <w:pPr>
              <w:jc w:val="both"/>
              <w:rPr>
                <w:lang w:val="en-US" w:eastAsia="zh-CN"/>
              </w:rPr>
            </w:pPr>
          </w:p>
        </w:tc>
        <w:tc>
          <w:tcPr>
            <w:tcW w:w="1386" w:type="dxa"/>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tcBorders>
              <w:tl2br w:val="nil"/>
              <w:tr2bl w:val="nil"/>
            </w:tcBorders>
            <w:noWrap w:val="0"/>
            <w:vAlign w:val="center"/>
          </w:tcPr>
          <w:p>
            <w:pPr>
              <w:jc w:val="both"/>
              <w:rPr>
                <w:lang w:val="en-US" w:eastAsia="zh-CN"/>
              </w:rPr>
            </w:pPr>
          </w:p>
        </w:tc>
        <w:tc>
          <w:tcPr>
            <w:tcW w:w="3280" w:type="dxa"/>
            <w:tcBorders>
              <w:tl2br w:val="nil"/>
              <w:tr2bl w:val="nil"/>
            </w:tcBorders>
            <w:noWrap w:val="0"/>
            <w:vAlign w:val="center"/>
          </w:tcPr>
          <w:p>
            <w:pPr>
              <w:jc w:val="both"/>
              <w:rPr>
                <w:lang w:val="en-US" w:eastAsia="zh-CN"/>
              </w:rPr>
            </w:pPr>
          </w:p>
        </w:tc>
        <w:tc>
          <w:tcPr>
            <w:tcW w:w="1400" w:type="dxa"/>
            <w:tcBorders>
              <w:tl2br w:val="nil"/>
              <w:tr2bl w:val="nil"/>
            </w:tcBorders>
            <w:noWrap w:val="0"/>
            <w:vAlign w:val="center"/>
          </w:tcPr>
          <w:p>
            <w:pPr>
              <w:jc w:val="both"/>
              <w:rPr>
                <w:lang w:val="en-US" w:eastAsia="zh-CN"/>
              </w:rPr>
            </w:pPr>
          </w:p>
        </w:tc>
        <w:tc>
          <w:tcPr>
            <w:tcW w:w="1400" w:type="dxa"/>
            <w:tcBorders>
              <w:tl2br w:val="nil"/>
              <w:tr2bl w:val="nil"/>
            </w:tcBorders>
            <w:noWrap w:val="0"/>
            <w:vAlign w:val="center"/>
          </w:tcPr>
          <w:p>
            <w:pPr>
              <w:jc w:val="both"/>
              <w:rPr>
                <w:lang w:val="en-US" w:eastAsia="zh-CN"/>
              </w:rPr>
            </w:pPr>
          </w:p>
        </w:tc>
        <w:tc>
          <w:tcPr>
            <w:tcW w:w="1386" w:type="dxa"/>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5"/>
            <w:tcBorders>
              <w:left w:val="single" w:color="FFFFFF" w:sz="4" w:space="0"/>
              <w:bottom w:val="single" w:color="FFFFFF" w:sz="4" w:space="0"/>
              <w:right w:val="single" w:color="FFFFFF" w:sz="4" w:space="0"/>
              <w:tl2br w:val="nil"/>
              <w:tr2bl w:val="nil"/>
            </w:tcBorders>
            <w:noWrap w:val="0"/>
            <w:vAlign w:val="center"/>
          </w:tcPr>
          <w:p>
            <w:pPr>
              <w:jc w:val="left"/>
              <w:rPr>
                <w:lang w:val="en-US" w:eastAsia="zh-CN"/>
              </w:rPr>
            </w:pPr>
            <w:r>
              <w:rPr>
                <w:rFonts w:ascii="宋体" w:hAnsi="宋体" w:eastAsia="宋体" w:cs="宋体"/>
                <w:b w:val="0"/>
                <w:i w:val="0"/>
                <w:color w:val="000000"/>
                <w:sz w:val="18"/>
                <w:lang w:val="en-US" w:eastAsia="zh-CN"/>
              </w:rPr>
              <w:t>注：本表反映部门本年度国有资本经营预算财政拨款支出情况。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pPr>
              <w:jc w:val="left"/>
              <w:rPr>
                <w:lang w:val="en-US" w:eastAsia="zh-CN"/>
              </w:rPr>
            </w:pPr>
            <w:r>
              <w:rPr>
                <w:rFonts w:ascii="宋体" w:hAnsi="宋体" w:eastAsia="宋体" w:cs="宋体"/>
                <w:b w:val="0"/>
                <w:i w:val="0"/>
                <w:color w:val="000000"/>
                <w:sz w:val="18"/>
                <w:lang w:val="en-US" w:eastAsia="zh-CN"/>
              </w:rPr>
              <w:t>本部门2024年度无国有资本经营预算财政拨款支出。</w:t>
            </w:r>
          </w:p>
        </w:tc>
      </w:tr>
    </w:tbl>
    <w:p>
      <w:pPr>
        <w:snapToGrid w:val="0"/>
        <w:spacing w:before="0" w:after="0" w:line="0" w:lineRule="auto"/>
        <w:jc w:val="both"/>
        <w:rPr>
          <w:lang w:val="en-US" w:eastAsia="zh-CN"/>
        </w:rPr>
      </w:pPr>
      <w:r>
        <w:rPr>
          <w:sz w:val="8"/>
          <w:lang w:val="en-US" w:eastAsia="zh-CN"/>
        </w:rPr>
        <w:t xml:space="preserve"> </w:t>
      </w:r>
    </w:p>
    <w:p>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财政拨款“三公”经费支出决算表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rPr>
                <w:lang w:val="en-US" w:eastAsia="zh-CN"/>
              </w:rPr>
            </w:pPr>
            <w:r>
              <w:rPr>
                <w:rFonts w:ascii="宋体" w:hAnsi="宋体" w:eastAsia="宋体" w:cs="宋体"/>
                <w:sz w:val="20"/>
                <w:lang w:val="en-US" w:eastAsia="zh-CN"/>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pPr>
              <w:jc w:val="left"/>
              <w:rPr>
                <w:lang w:val="en-US" w:eastAsia="zh-CN"/>
              </w:rPr>
            </w:pPr>
            <w:r>
              <w:rPr>
                <w:rFonts w:ascii="宋体" w:hAnsi="宋体" w:eastAsia="宋体" w:cs="宋体"/>
                <w:sz w:val="20"/>
                <w:lang w:val="en-US" w:eastAsia="zh-CN"/>
              </w:rPr>
              <w:t>单位：通山县九宫山镇财政所本级</w:t>
            </w:r>
          </w:p>
        </w:tc>
        <w:tc>
          <w:tcPr>
            <w:tcW w:w="2000" w:type="dxa"/>
            <w:tcBorders>
              <w:tl2br w:val="nil"/>
              <w:tr2bl w:val="nil"/>
            </w:tcBorders>
            <w:noWrap w:val="0"/>
            <w:vAlign w:val="top"/>
          </w:tcPr>
          <w:p>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pPr>
              <w:jc w:val="right"/>
              <w:rPr>
                <w:lang w:val="en-US" w:eastAsia="zh-CN"/>
              </w:rPr>
            </w:pPr>
            <w:r>
              <w:rPr>
                <w:rFonts w:ascii="宋体" w:hAnsi="宋体" w:eastAsia="宋体" w:cs="宋体"/>
                <w:sz w:val="20"/>
                <w:lang w:val="en-US" w:eastAsia="zh-CN"/>
              </w:rPr>
              <w:t>金额单位：万元</w:t>
            </w:r>
          </w:p>
        </w:tc>
      </w:tr>
    </w:tbl>
    <w:p>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00"/>
        <w:gridCol w:w="700"/>
        <w:gridCol w:w="700"/>
        <w:gridCol w:w="700"/>
        <w:gridCol w:w="700"/>
        <w:gridCol w:w="700"/>
        <w:gridCol w:w="700"/>
        <w:gridCol w:w="700"/>
        <w:gridCol w:w="700"/>
        <w:gridCol w:w="700"/>
        <w:gridCol w:w="700"/>
        <w:gridCol w:w="6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7" w:hRule="exact"/>
          <w:jc w:val="center"/>
        </w:trPr>
        <w:tc>
          <w:tcPr>
            <w:tcW w:w="700" w:type="dxa"/>
            <w:gridSpan w:val="6"/>
            <w:noWrap w:val="0"/>
            <w:vAlign w:val="center"/>
          </w:tcPr>
          <w:p>
            <w:pPr>
              <w:jc w:val="center"/>
              <w:rPr>
                <w:lang w:val="en-US" w:eastAsia="zh-CN"/>
              </w:rPr>
            </w:pPr>
            <w:r>
              <w:rPr>
                <w:rFonts w:ascii="宋体" w:hAnsi="宋体" w:eastAsia="宋体" w:cs="宋体"/>
                <w:b w:val="0"/>
                <w:i w:val="0"/>
                <w:color w:val="000000"/>
                <w:sz w:val="10"/>
                <w:lang w:val="en-US" w:eastAsia="zh-CN"/>
              </w:rPr>
              <w:t>预算数</w:t>
            </w:r>
          </w:p>
        </w:tc>
        <w:tc>
          <w:tcPr>
            <w:tcW w:w="700" w:type="dxa"/>
            <w:gridSpan w:val="6"/>
            <w:noWrap w:val="0"/>
            <w:vAlign w:val="center"/>
          </w:tcPr>
          <w:p>
            <w:pPr>
              <w:jc w:val="center"/>
              <w:rPr>
                <w:lang w:val="en-US" w:eastAsia="zh-CN"/>
              </w:rPr>
            </w:pPr>
            <w:r>
              <w:rPr>
                <w:rFonts w:ascii="宋体" w:hAnsi="宋体" w:eastAsia="宋体" w:cs="宋体"/>
                <w:b w:val="0"/>
                <w:i w:val="0"/>
                <w:color w:val="000000"/>
                <w:sz w:val="10"/>
                <w:lang w:val="en-US" w:eastAsia="zh-CN"/>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9" w:hRule="exact"/>
          <w:jc w:val="center"/>
        </w:trPr>
        <w:tc>
          <w:tcPr>
            <w:tcW w:w="70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70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公务接待费</w:t>
            </w:r>
          </w:p>
        </w:tc>
        <w:tc>
          <w:tcPr>
            <w:tcW w:w="70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606" w:type="dxa"/>
            <w:vMerge w:val="restart"/>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6" w:hRule="exact"/>
          <w:jc w:val="center"/>
        </w:trPr>
        <w:tc>
          <w:tcPr>
            <w:tcW w:w="700" w:type="dxa"/>
            <w:vMerge w:val="continue"/>
            <w:tcBorders>
              <w:tl2br w:val="nil"/>
              <w:tr2bl w:val="nil"/>
            </w:tcBorders>
            <w:noWrap w:val="0"/>
            <w:vAlign w:val="center"/>
          </w:tcPr>
          <w:p>
            <w:pPr>
              <w:jc w:val="both"/>
              <w:rPr>
                <w:lang w:val="en-US" w:eastAsia="zh-CN"/>
              </w:rPr>
            </w:pPr>
          </w:p>
        </w:tc>
        <w:tc>
          <w:tcPr>
            <w:tcW w:w="700" w:type="dxa"/>
            <w:vMerge w:val="continue"/>
            <w:tcBorders>
              <w:tl2br w:val="nil"/>
              <w:tr2bl w:val="nil"/>
            </w:tcBorders>
            <w:noWrap w:val="0"/>
            <w:vAlign w:val="center"/>
          </w:tcPr>
          <w:p>
            <w:pPr>
              <w:jc w:val="both"/>
              <w:rPr>
                <w:lang w:val="en-US" w:eastAsia="zh-CN"/>
              </w:rPr>
            </w:pP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公务用车运行维护费</w:t>
            </w:r>
          </w:p>
        </w:tc>
        <w:tc>
          <w:tcPr>
            <w:tcW w:w="700" w:type="dxa"/>
            <w:vMerge w:val="continue"/>
            <w:tcBorders>
              <w:tl2br w:val="nil"/>
              <w:tr2bl w:val="nil"/>
            </w:tcBorders>
            <w:noWrap w:val="0"/>
            <w:vAlign w:val="center"/>
          </w:tcPr>
          <w:p>
            <w:pPr>
              <w:jc w:val="both"/>
              <w:rPr>
                <w:lang w:val="en-US" w:eastAsia="zh-CN"/>
              </w:rPr>
            </w:pPr>
          </w:p>
        </w:tc>
        <w:tc>
          <w:tcPr>
            <w:tcW w:w="700" w:type="dxa"/>
            <w:vMerge w:val="continue"/>
            <w:tcBorders>
              <w:tl2br w:val="nil"/>
              <w:tr2bl w:val="nil"/>
            </w:tcBorders>
            <w:noWrap w:val="0"/>
            <w:vAlign w:val="center"/>
          </w:tcPr>
          <w:p>
            <w:pPr>
              <w:jc w:val="both"/>
              <w:rPr>
                <w:lang w:val="en-US" w:eastAsia="zh-CN"/>
              </w:rPr>
            </w:pPr>
          </w:p>
        </w:tc>
        <w:tc>
          <w:tcPr>
            <w:tcW w:w="700" w:type="dxa"/>
            <w:vMerge w:val="continue"/>
            <w:tcBorders>
              <w:tl2br w:val="nil"/>
              <w:tr2bl w:val="nil"/>
            </w:tcBorders>
            <w:noWrap w:val="0"/>
            <w:vAlign w:val="center"/>
          </w:tcPr>
          <w:p>
            <w:pPr>
              <w:jc w:val="both"/>
              <w:rPr>
                <w:lang w:val="en-US" w:eastAsia="zh-CN"/>
              </w:rPr>
            </w:pP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公务用车运行维护费</w:t>
            </w:r>
          </w:p>
        </w:tc>
        <w:tc>
          <w:tcPr>
            <w:tcW w:w="606" w:type="dxa"/>
            <w:vMerge w:val="continue"/>
            <w:tcBorders>
              <w:tl2br w:val="nil"/>
              <w:tr2bl w:val="nil"/>
            </w:tcBorders>
            <w:noWrap w:val="0"/>
            <w:vAlign w:val="center"/>
          </w:tcPr>
          <w:p>
            <w:pPr>
              <w:jc w:val="both"/>
              <w:rPr>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6" w:hRule="exact"/>
          <w:jc w:val="center"/>
        </w:trPr>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1</w:t>
            </w: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2</w:t>
            </w: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3</w:t>
            </w: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4</w:t>
            </w: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5</w:t>
            </w: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6</w:t>
            </w: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7</w:t>
            </w: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8</w:t>
            </w: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9</w:t>
            </w: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10</w:t>
            </w:r>
          </w:p>
        </w:tc>
        <w:tc>
          <w:tcPr>
            <w:tcW w:w="700"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11</w:t>
            </w:r>
          </w:p>
        </w:tc>
        <w:tc>
          <w:tcPr>
            <w:tcW w:w="606" w:type="dxa"/>
            <w:tcBorders>
              <w:tl2br w:val="nil"/>
              <w:tr2bl w:val="nil"/>
            </w:tcBorders>
            <w:noWrap w:val="0"/>
            <w:vAlign w:val="center"/>
          </w:tcPr>
          <w:p>
            <w:pPr>
              <w:jc w:val="center"/>
              <w:rPr>
                <w:lang w:val="en-US" w:eastAsia="zh-CN"/>
              </w:rPr>
            </w:pPr>
            <w:r>
              <w:rPr>
                <w:rFonts w:ascii="宋体" w:hAnsi="宋体" w:eastAsia="宋体" w:cs="宋体"/>
                <w:b w:val="0"/>
                <w:i w:val="0"/>
                <w:color w:val="000000"/>
                <w:sz w:val="10"/>
                <w:lang w:val="en-US" w:eastAsia="zh-CN"/>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7" w:hRule="exact"/>
          <w:jc w:val="center"/>
        </w:trPr>
        <w:tc>
          <w:tcPr>
            <w:tcW w:w="7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2.14</w:t>
            </w:r>
          </w:p>
        </w:tc>
        <w:tc>
          <w:tcPr>
            <w:tcW w:w="7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7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7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7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7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2.14</w:t>
            </w:r>
          </w:p>
        </w:tc>
        <w:tc>
          <w:tcPr>
            <w:tcW w:w="7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2.14</w:t>
            </w:r>
          </w:p>
        </w:tc>
        <w:tc>
          <w:tcPr>
            <w:tcW w:w="7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7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7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700"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0.00</w:t>
            </w:r>
          </w:p>
        </w:tc>
        <w:tc>
          <w:tcPr>
            <w:tcW w:w="606" w:type="dxa"/>
            <w:tcBorders>
              <w:tl2br w:val="nil"/>
              <w:tr2bl w:val="nil"/>
            </w:tcBorders>
            <w:noWrap w:val="0"/>
            <w:vAlign w:val="center"/>
          </w:tcPr>
          <w:p>
            <w:pPr>
              <w:jc w:val="right"/>
              <w:rPr>
                <w:lang w:val="en-US" w:eastAsia="zh-CN"/>
              </w:rPr>
            </w:pPr>
            <w:r>
              <w:rPr>
                <w:rFonts w:ascii="宋体" w:hAnsi="宋体" w:eastAsia="宋体" w:cs="宋体"/>
                <w:b w:val="0"/>
                <w:i w:val="0"/>
                <w:color w:val="000000"/>
                <w:sz w:val="10"/>
                <w:lang w:val="en-US" w:eastAsia="zh-CN"/>
              </w:rPr>
              <w:t>2.14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2" w:hRule="exact"/>
          <w:jc w:val="center"/>
        </w:trPr>
        <w:tc>
          <w:tcPr>
            <w:tcW w:w="700" w:type="dxa"/>
            <w:gridSpan w:val="12"/>
            <w:tcBorders>
              <w:left w:val="single" w:color="FFFFFF" w:sz="4" w:space="0"/>
              <w:bottom w:val="single" w:color="FFFFFF" w:sz="4" w:space="0"/>
              <w:right w:val="single" w:color="FFFFFF" w:sz="4" w:space="0"/>
              <w:tl2br w:val="nil"/>
              <w:tr2bl w:val="nil"/>
            </w:tcBorders>
            <w:noWrap w:val="0"/>
            <w:vAlign w:val="center"/>
          </w:tcPr>
          <w:p>
            <w:pPr>
              <w:jc w:val="left"/>
              <w:rPr>
                <w:lang w:val="en-US" w:eastAsia="zh-CN"/>
              </w:rPr>
            </w:pPr>
            <w:r>
              <w:rPr>
                <w:rFonts w:ascii="宋体" w:hAnsi="宋体" w:eastAsia="宋体" w:cs="宋体"/>
                <w:b w:val="0"/>
                <w:i w:val="0"/>
                <w:color w:val="000000"/>
                <w:sz w:val="10"/>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3" w:hRule="exact"/>
          <w:jc w:val="center"/>
        </w:trPr>
        <w:tc>
          <w:tcPr>
            <w:tcW w:w="700" w:type="dxa"/>
            <w:gridSpan w:val="12"/>
            <w:tcBorders>
              <w:top w:val="single" w:color="FFFFFF" w:sz="4" w:space="0"/>
              <w:left w:val="single" w:color="FFFFFF" w:sz="4" w:space="0"/>
              <w:bottom w:val="single" w:color="FFFFFF" w:sz="4" w:space="0"/>
              <w:right w:val="single" w:color="FFFFFF" w:sz="4" w:space="0"/>
              <w:tl2br w:val="nil"/>
              <w:tr2bl w:val="nil"/>
            </w:tcBorders>
            <w:noWrap w:val="0"/>
            <w:vAlign w:val="center"/>
          </w:tcPr>
          <w:p>
            <w:pPr>
              <w:jc w:val="both"/>
              <w:rPr>
                <w:lang w:val="en-US" w:eastAsia="zh-CN"/>
              </w:rPr>
            </w:pPr>
          </w:p>
        </w:tc>
      </w:tr>
    </w:tbl>
    <w:p>
      <w:pPr>
        <w:snapToGrid w:val="0"/>
        <w:spacing w:before="0" w:after="0" w:line="0" w:lineRule="auto"/>
        <w:jc w:val="both"/>
        <w:rPr>
          <w:lang w:val="en-US" w:eastAsia="zh-CN"/>
        </w:rPr>
      </w:pPr>
      <w:r>
        <w:rPr>
          <w:sz w:val="8"/>
          <w:lang w:val="en-US" w:eastAsia="zh-CN"/>
        </w:rPr>
        <w:t xml:space="preserve"> </w:t>
      </w:r>
    </w:p>
    <w:p>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w:t>
      </w:r>
      <w:r>
        <w:rPr>
          <w:rFonts w:hint="eastAsia" w:ascii="仿宋_GB2312" w:hAnsi="宋体"/>
          <w:bCs/>
          <w:sz w:val="32"/>
          <w:szCs w:val="32"/>
          <w:highlight w:val="none"/>
          <w:lang w:val="en-US" w:eastAsia="zh-CN"/>
        </w:rPr>
        <w:t>说明：公开表格插入到相应标题下面，注意排版。空表要列出并附注说明</w:t>
      </w:r>
      <w:r>
        <w:rPr>
          <w:rFonts w:hint="eastAsia" w:ascii="黑体" w:hAnsi="黑体" w:eastAsia="黑体" w:cs="黑体"/>
          <w:sz w:val="32"/>
          <w:szCs w:val="32"/>
          <w:lang w:val="en-US" w:eastAsia="zh-CN"/>
        </w:rPr>
        <w:t>）</w:t>
      </w:r>
    </w:p>
    <w:p>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2024年度部门决算情况说明</w:t>
      </w:r>
    </w:p>
    <w:p>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一、收入支出决算总体情况说明</w:t>
      </w:r>
    </w:p>
    <w:p>
      <w:pPr>
        <w:spacing w:before="0" w:after="0" w:line="360" w:lineRule="auto"/>
        <w:ind w:firstLine="510"/>
        <w:jc w:val="both"/>
        <w:rPr>
          <w:rFonts w:hint="eastAsia" w:ascii="仿宋" w:hAnsi="仿宋" w:eastAsia="仿宋" w:cs="仿宋"/>
          <w:b w:val="0"/>
          <w:i w:val="0"/>
          <w:sz w:val="28"/>
          <w:u w:val="none"/>
          <w:lang w:val="en-US" w:eastAsia="zh-CN"/>
        </w:rPr>
      </w:pPr>
      <w:r>
        <w:rPr>
          <w:rFonts w:hint="eastAsia" w:ascii="仿宋_GB2312" w:hAnsi="宋体"/>
          <w:bCs/>
          <w:sz w:val="32"/>
          <w:szCs w:val="32"/>
          <w:highlight w:val="none"/>
          <w:lang w:val="en-US" w:eastAsia="zh-CN"/>
        </w:rPr>
        <w:t>2024年</w:t>
      </w:r>
      <w:r>
        <w:rPr>
          <w:rFonts w:hint="eastAsia" w:ascii="仿宋_GB2312" w:hAnsi="宋体" w:eastAsia="仿宋_GB2312"/>
          <w:bCs/>
          <w:sz w:val="32"/>
          <w:szCs w:val="32"/>
          <w:highlight w:val="none"/>
          <w:lang w:val="en-US" w:eastAsia="zh-CN"/>
        </w:rPr>
        <w:t>度收、支总计</w:t>
      </w:r>
      <w:r>
        <w:rPr>
          <w:rFonts w:hint="eastAsia" w:ascii="仿宋_GB2312" w:hAnsi="宋体"/>
          <w:bCs/>
          <w:sz w:val="32"/>
          <w:szCs w:val="32"/>
          <w:highlight w:val="none"/>
          <w:lang w:val="en-US" w:eastAsia="zh-CN"/>
        </w:rPr>
        <w:t>均为</w:t>
      </w:r>
      <w:r>
        <w:rPr>
          <w:rFonts w:hint="eastAsia" w:ascii="仿宋_GB2312" w:hAnsi="宋体"/>
          <w:bCs/>
          <w:sz w:val="32"/>
          <w:szCs w:val="32"/>
          <w:highlight w:val="none"/>
          <w:u w:val="none"/>
          <w:lang w:val="en-US" w:eastAsia="zh-CN"/>
        </w:rPr>
        <w:t>424.37</w:t>
      </w:r>
      <w:r>
        <w:rPr>
          <w:rFonts w:hint="eastAsia" w:ascii="仿宋_GB2312" w:hAnsi="宋体" w:eastAsia="仿宋_GB2312"/>
          <w:bCs/>
          <w:sz w:val="32"/>
          <w:szCs w:val="32"/>
          <w:highlight w:val="none"/>
          <w:lang w:val="en-US" w:eastAsia="zh-CN"/>
        </w:rPr>
        <w:t>万元。与2023年度相比，收、支总计减少9.07万元，下降2.1%,主要原因</w:t>
      </w:r>
      <w:r>
        <w:rPr>
          <w:rFonts w:hint="eastAsia" w:ascii="仿宋_GB2312" w:hAnsi="宋体"/>
          <w:bCs/>
          <w:sz w:val="32"/>
          <w:szCs w:val="32"/>
          <w:highlight w:val="none"/>
          <w:lang w:val="en-US" w:eastAsia="zh-CN"/>
        </w:rPr>
        <w:t>：</w:t>
      </w:r>
      <w:r>
        <w:rPr>
          <w:rFonts w:hint="eastAsia" w:ascii="仿宋" w:hAnsi="仿宋" w:eastAsia="仿宋" w:cs="仿宋"/>
          <w:b w:val="0"/>
          <w:i w:val="0"/>
          <w:sz w:val="28"/>
          <w:u w:val="none"/>
          <w:lang w:eastAsia="zh-CN"/>
        </w:rPr>
        <w:t>一是</w:t>
      </w:r>
      <w:r>
        <w:rPr>
          <w:rFonts w:hint="eastAsia" w:ascii="仿宋" w:hAnsi="仿宋" w:eastAsia="仿宋" w:cs="仿宋"/>
          <w:b w:val="0"/>
          <w:i w:val="0"/>
          <w:sz w:val="28"/>
          <w:u w:val="none"/>
          <w:lang w:val="en-US" w:eastAsia="zh-CN"/>
        </w:rPr>
        <w:t>2024年车补未发，二是2023年补发2022年退休人员统筹待遇及其他，三是2024年医保只反映下半年数据，导致人员经费比2023年减少9.07万；</w:t>
      </w:r>
    </w:p>
    <w:p>
      <w:pPr>
        <w:adjustRightInd w:val="0"/>
        <w:snapToGrid w:val="0"/>
        <w:spacing w:line="580" w:lineRule="atLeast"/>
        <w:jc w:val="both"/>
        <w:rPr>
          <w:rFonts w:hint="eastAsia" w:ascii="仿宋_GB2312" w:hAnsi="宋体" w:eastAsia="仿宋_GB2312"/>
          <w:bCs/>
          <w:sz w:val="32"/>
          <w:szCs w:val="32"/>
          <w:highlight w:val="none"/>
          <w:lang w:val="en-US" w:eastAsia="zh-CN"/>
        </w:rPr>
      </w:pPr>
    </w:p>
    <w:p>
      <w:pPr>
        <w:adjustRightInd w:val="0"/>
        <w:snapToGrid w:val="0"/>
        <w:spacing w:line="580" w:lineRule="atLeast"/>
        <w:ind w:firstLine="600" w:firstLineChars="200"/>
        <w:jc w:val="center"/>
        <w:rPr>
          <w:rFonts w:hint="eastAsia" w:ascii="仿宋_GB2312" w:hAnsi="宋体" w:eastAsia="仿宋_GB2312"/>
          <w:bCs/>
          <w:sz w:val="32"/>
          <w:szCs w:val="32"/>
          <w:highlight w:val="none"/>
          <w:lang w:val="en-US" w:eastAsia="zh-CN"/>
        </w:rPr>
      </w:pPr>
      <w:r>
        <w:rPr>
          <w:rFonts w:hint="eastAsia" w:ascii="仿宋_GB2312" w:hAnsi="宋体" w:eastAsia="仿宋_GB2312"/>
          <w:bCs/>
          <w:sz w:val="30"/>
          <w:szCs w:val="30"/>
          <w:highlight w:val="none"/>
          <w:lang w:val="en-US" w:eastAsia="zh-CN"/>
        </w:rPr>
        <w:t>图1：收、支决算总计变动情况</w:t>
      </w:r>
    </w:p>
    <w:p>
      <w:pPr>
        <w:adjustRightInd w:val="0"/>
        <w:snapToGrid w:val="0"/>
        <w:spacing w:line="580" w:lineRule="atLeast"/>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80000" cy="3810000"/>
                    </a:xfrm>
                    <a:prstGeom prst="rect">
                      <a:avLst/>
                    </a:prstGeom>
                    <a:noFill/>
                    <a:ln>
                      <a:noFill/>
                    </a:ln>
                  </pic:spPr>
                </pic:pic>
              </a:graphicData>
            </a:graphic>
          </wp:inline>
        </w:drawing>
      </w:r>
    </w:p>
    <w:p>
      <w:pPr>
        <w:numPr>
          <w:ilvl w:val="0"/>
          <w:numId w:val="0"/>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pPr>
        <w:bidi w:val="0"/>
        <w:jc w:val="both"/>
        <w:rPr>
          <w:rFonts w:hint="eastAsia" w:ascii="仿宋_GB2312" w:hAnsi="仿宋_GB2312" w:eastAsia="仿宋_GB2312" w:cs="仿宋_GB2312"/>
          <w:sz w:val="30"/>
          <w:szCs w:val="30"/>
          <w:lang w:val="en-US" w:eastAsia="zh-CN"/>
        </w:rPr>
      </w:pPr>
      <w:r>
        <w:rPr>
          <w:rFonts w:hint="eastAsia" w:ascii="仿宋_GB2312" w:hAnsi="宋体"/>
          <w:bCs/>
          <w:szCs w:val="32"/>
          <w:highlight w:val="none"/>
          <w:lang w:val="en-US" w:eastAsia="zh-CN"/>
        </w:rPr>
        <w:t xml:space="preserve">    2024年度收入合计</w:t>
      </w:r>
      <w:r>
        <w:rPr>
          <w:rFonts w:hint="eastAsia" w:ascii="仿宋_GB2312" w:hAnsi="宋体"/>
          <w:bCs/>
          <w:szCs w:val="32"/>
          <w:highlight w:val="none"/>
          <w:u w:val="none"/>
          <w:lang w:val="en-US" w:eastAsia="zh-CN"/>
        </w:rPr>
        <w:t>424.37</w:t>
      </w:r>
      <w:r>
        <w:rPr>
          <w:rFonts w:hint="eastAsia" w:ascii="仿宋_GB2312" w:hAnsi="宋体"/>
          <w:bCs/>
          <w:szCs w:val="32"/>
          <w:highlight w:val="none"/>
          <w:lang w:val="en-US" w:eastAsia="zh-CN"/>
        </w:rPr>
        <w:t>万元，与2023年度相比，收入合计减少9.07万元，下降2.1%。其中：财政拨款收入424.37万元，占本年收入100.0%；上级补助收入0.00万元，占本年收入0.0%；事业收入0.00万元，占本年收入0.0%；经营收入0.00万元，占本年收入0.0%；附属单位上缴收入0.00万元，占本年收入0.0%；其他收入0.00万元，占本年收入0.0%。</w:t>
      </w:r>
    </w:p>
    <w:p>
      <w:pPr>
        <w:bidi w:val="0"/>
        <w:jc w:val="center"/>
        <w:rPr>
          <w:rFonts w:hint="default"/>
          <w:lang w:val="en-US" w:eastAsia="zh-CN"/>
        </w:rPr>
      </w:pPr>
      <w:r>
        <w:rPr>
          <w:rFonts w:hint="eastAsia" w:ascii="仿宋_GB2312" w:hAnsi="仿宋_GB2312" w:eastAsia="仿宋_GB2312" w:cs="仿宋_GB2312"/>
          <w:sz w:val="30"/>
          <w:szCs w:val="30"/>
          <w:lang w:val="en-US" w:eastAsia="zh-CN"/>
        </w:rPr>
        <w:t>图2：收入决算结构</w:t>
      </w:r>
    </w:p>
    <w:p>
      <w:pPr>
        <w:bidi w:val="0"/>
        <w:jc w:val="center"/>
        <w:rPr>
          <w:rFonts w:hint="default"/>
          <w:lang w:val="en-US" w:eastAsia="zh-CN"/>
        </w:rPr>
      </w:pPr>
      <w:r>
        <w:rPr>
          <w:lang w:val="en-US" w:eastAsia="zh-CN"/>
        </w:rPr>
        <w:drawing>
          <wp:inline distT="0" distB="0" distL="114300" distR="114300">
            <wp:extent cx="5080000" cy="381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080000" cy="3810000"/>
                    </a:xfrm>
                    <a:prstGeom prst="rect">
                      <a:avLst/>
                    </a:prstGeom>
                    <a:noFill/>
                    <a:ln>
                      <a:noFill/>
                    </a:ln>
                  </pic:spPr>
                </pic:pic>
              </a:graphicData>
            </a:graphic>
          </wp:inline>
        </w:drawing>
      </w:r>
    </w:p>
    <w:p>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三、支出决算情况说明</w:t>
      </w:r>
    </w:p>
    <w:p>
      <w:pPr>
        <w:bidi w:val="0"/>
        <w:ind w:firstLine="640" w:firstLineChars="200"/>
        <w:jc w:val="both"/>
        <w:rPr>
          <w:rFonts w:hint="eastAsia" w:ascii="仿宋_GB2312" w:hAnsi="仿宋_GB2312" w:eastAsia="仿宋_GB2312" w:cs="仿宋_GB2312"/>
          <w:sz w:val="30"/>
          <w:szCs w:val="30"/>
          <w:lang w:val="en-US" w:eastAsia="zh-CN"/>
        </w:rPr>
      </w:pPr>
      <w:r>
        <w:rPr>
          <w:rFonts w:hint="eastAsia"/>
          <w:lang w:val="en-US" w:eastAsia="zh-CN"/>
        </w:rPr>
        <w:t>2024年度支出合计</w:t>
      </w:r>
      <w:r>
        <w:rPr>
          <w:rFonts w:hint="eastAsia" w:ascii="仿宋_GB2312" w:hAnsi="宋体" w:eastAsia="仿宋_GB2312"/>
          <w:bCs/>
          <w:sz w:val="32"/>
          <w:szCs w:val="32"/>
          <w:highlight w:val="none"/>
          <w:u w:val="none"/>
          <w:lang w:val="en-US" w:eastAsia="zh-CN"/>
        </w:rPr>
        <w:t>424.37</w:t>
      </w:r>
      <w:r>
        <w:rPr>
          <w:rFonts w:hint="eastAsia"/>
          <w:lang w:val="en-US" w:eastAsia="zh-CN"/>
        </w:rPr>
        <w:t>万元，与2023年度相比，</w:t>
      </w:r>
      <w:r>
        <w:rPr>
          <w:rFonts w:hint="eastAsia" w:ascii="仿宋_GB2312" w:hAnsi="宋体"/>
          <w:szCs w:val="32"/>
          <w:lang w:val="en-US" w:eastAsia="zh-CN"/>
        </w:rPr>
        <w:t>支出合计减少9.07万元，下降2.1%。其中：基本支出399.37</w:t>
      </w:r>
      <w:r>
        <w:rPr>
          <w:rFonts w:hint="eastAsia" w:ascii="仿宋_GB2312"/>
          <w:kern w:val="44"/>
          <w:szCs w:val="32"/>
          <w:lang w:val="en-US" w:eastAsia="zh-CN"/>
        </w:rPr>
        <w:t>万元，占本年支出</w:t>
      </w:r>
      <w:r>
        <w:rPr>
          <w:rFonts w:hint="eastAsia" w:ascii="仿宋_GB2312" w:cs="仿宋_GB2312"/>
          <w:szCs w:val="32"/>
          <w:lang w:val="en-US" w:eastAsia="zh-CN" w:bidi="ar"/>
        </w:rPr>
        <w:t>94.1</w:t>
      </w:r>
      <w:r>
        <w:rPr>
          <w:rFonts w:hint="eastAsia" w:ascii="仿宋_GB2312"/>
          <w:kern w:val="44"/>
          <w:szCs w:val="32"/>
          <w:lang w:val="en-US" w:eastAsia="zh-CN"/>
        </w:rPr>
        <w:t>%；项目支出</w:t>
      </w:r>
      <w:r>
        <w:rPr>
          <w:rFonts w:hint="eastAsia" w:ascii="仿宋_GB2312" w:cs="仿宋_GB2312"/>
          <w:szCs w:val="32"/>
          <w:lang w:val="en-US" w:eastAsia="zh-CN" w:bidi="ar"/>
        </w:rPr>
        <w:t>25.00</w:t>
      </w:r>
      <w:r>
        <w:rPr>
          <w:rFonts w:hint="eastAsia" w:ascii="仿宋_GB2312"/>
          <w:kern w:val="44"/>
          <w:szCs w:val="32"/>
          <w:lang w:val="en-US" w:eastAsia="zh-CN"/>
        </w:rPr>
        <w:t>万元，占本年支出</w:t>
      </w:r>
      <w:r>
        <w:rPr>
          <w:rFonts w:hint="eastAsia" w:ascii="仿宋_GB2312" w:cs="仿宋_GB2312"/>
          <w:szCs w:val="32"/>
          <w:lang w:val="en-US" w:eastAsia="zh-CN" w:bidi="ar"/>
        </w:rPr>
        <w:t>5.9</w:t>
      </w:r>
      <w:r>
        <w:rPr>
          <w:rFonts w:hint="eastAsia" w:ascii="仿宋_GB2312"/>
          <w:kern w:val="44"/>
          <w:szCs w:val="32"/>
          <w:lang w:val="en-US" w:eastAsia="zh-CN"/>
        </w:rPr>
        <w:t>%；上缴上级支出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%；经营支出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%；对附属单位补助支出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w:t>
      </w:r>
    </w:p>
    <w:p>
      <w:pPr>
        <w:bidi w:val="0"/>
        <w:jc w:val="center"/>
        <w:rPr>
          <w:rFonts w:hint="eastAsia" w:eastAsia="仿宋_GB2312"/>
          <w:lang w:val="en-US" w:eastAsia="zh-CN"/>
        </w:rPr>
      </w:pPr>
      <w:r>
        <w:rPr>
          <w:rFonts w:hint="eastAsia" w:ascii="仿宋_GB2312" w:hAnsi="仿宋_GB2312" w:eastAsia="仿宋_GB2312" w:cs="仿宋_GB2312"/>
          <w:sz w:val="30"/>
          <w:szCs w:val="30"/>
          <w:lang w:val="en-US" w:eastAsia="zh-CN"/>
        </w:rPr>
        <w:t>图3：支出决算结构</w:t>
      </w:r>
    </w:p>
    <w:p>
      <w:pPr>
        <w:bidi w:val="0"/>
        <w:jc w:val="center"/>
        <w:rPr>
          <w:rFonts w:hint="eastAsia" w:eastAsia="仿宋_GB2312"/>
          <w:lang w:val="en-US" w:eastAsia="zh-CN"/>
        </w:rPr>
      </w:pPr>
      <w:r>
        <w:rPr>
          <w:lang w:val="en-US" w:eastAsia="zh-CN"/>
        </w:rPr>
        <w:drawing>
          <wp:inline distT="0" distB="0" distL="114300" distR="114300">
            <wp:extent cx="5080000" cy="381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080000" cy="3810000"/>
                    </a:xfrm>
                    <a:prstGeom prst="rect">
                      <a:avLst/>
                    </a:prstGeom>
                    <a:noFill/>
                    <a:ln>
                      <a:noFill/>
                    </a:ln>
                  </pic:spPr>
                </pic:pic>
              </a:graphicData>
            </a:graphic>
          </wp:inline>
        </w:drawing>
      </w:r>
    </w:p>
    <w:p>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四、财政拨款收入支出决算总体情况说明</w:t>
      </w:r>
    </w:p>
    <w:p>
      <w:pPr>
        <w:spacing w:before="0" w:after="0" w:line="360" w:lineRule="auto"/>
        <w:ind w:firstLine="510"/>
        <w:jc w:val="both"/>
        <w:rPr>
          <w:rFonts w:hint="eastAsia" w:ascii="仿宋" w:hAnsi="仿宋" w:eastAsia="仿宋" w:cs="仿宋"/>
          <w:b w:val="0"/>
          <w:i w:val="0"/>
          <w:sz w:val="28"/>
          <w:u w:val="none"/>
          <w:lang w:val="en-US" w:eastAsia="zh-CN"/>
        </w:rPr>
      </w:pPr>
      <w:r>
        <w:rPr>
          <w:rFonts w:hint="eastAsia" w:ascii="仿宋" w:hAnsi="仿宋" w:eastAsia="仿宋" w:cs="仿宋"/>
          <w:lang w:val="en-US" w:eastAsia="zh-CN"/>
        </w:rPr>
        <w:t>2024年度财政拨款收、支总计均为424.37万元。与2023年度相比，财政拨款收、支总计各</w:t>
      </w:r>
      <w:r>
        <w:rPr>
          <w:rFonts w:hint="eastAsia" w:ascii="仿宋" w:hAnsi="仿宋" w:eastAsia="仿宋" w:cs="仿宋"/>
          <w:szCs w:val="32"/>
          <w:lang w:val="en-US" w:eastAsia="zh-CN"/>
        </w:rPr>
        <w:t>减少9.07万元，下降2.1%</w:t>
      </w:r>
      <w:r>
        <w:rPr>
          <w:rFonts w:hint="eastAsia" w:ascii="仿宋" w:hAnsi="仿宋" w:eastAsia="仿宋" w:cs="仿宋"/>
          <w:lang w:val="en-US" w:eastAsia="zh-CN"/>
        </w:rPr>
        <w:t>。</w:t>
      </w:r>
      <w:r>
        <w:rPr>
          <w:rFonts w:hint="eastAsia" w:ascii="仿宋_GB2312" w:hAnsi="宋体" w:eastAsia="仿宋_GB2312"/>
          <w:bCs/>
          <w:sz w:val="32"/>
          <w:szCs w:val="32"/>
          <w:highlight w:val="none"/>
          <w:lang w:val="en-US" w:eastAsia="zh-CN"/>
        </w:rPr>
        <w:t>主要原因</w:t>
      </w:r>
      <w:r>
        <w:rPr>
          <w:rFonts w:hint="eastAsia" w:ascii="仿宋_GB2312" w:hAnsi="宋体"/>
          <w:bCs/>
          <w:sz w:val="32"/>
          <w:szCs w:val="32"/>
          <w:highlight w:val="none"/>
          <w:lang w:val="en-US" w:eastAsia="zh-CN"/>
        </w:rPr>
        <w:t>：</w:t>
      </w:r>
      <w:r>
        <w:rPr>
          <w:rFonts w:hint="eastAsia" w:ascii="仿宋" w:hAnsi="仿宋" w:eastAsia="仿宋" w:cs="仿宋"/>
          <w:b w:val="0"/>
          <w:i w:val="0"/>
          <w:sz w:val="28"/>
          <w:u w:val="none"/>
          <w:lang w:eastAsia="zh-CN"/>
        </w:rPr>
        <w:t>一是</w:t>
      </w:r>
      <w:r>
        <w:rPr>
          <w:rFonts w:hint="eastAsia" w:ascii="仿宋" w:hAnsi="仿宋" w:eastAsia="仿宋" w:cs="仿宋"/>
          <w:b w:val="0"/>
          <w:i w:val="0"/>
          <w:sz w:val="28"/>
          <w:u w:val="none"/>
          <w:lang w:val="en-US" w:eastAsia="zh-CN"/>
        </w:rPr>
        <w:t>2024年车补未发，二是2023年补发2022年退休人员统筹待遇及其他，三是2024年医保只反映下半年数据，导致人员经费比2023年减少9.07万；</w:t>
      </w:r>
    </w:p>
    <w:p>
      <w:pPr>
        <w:spacing w:before="0" w:after="0" w:line="360" w:lineRule="auto"/>
        <w:ind w:firstLine="510"/>
        <w:jc w:val="both"/>
        <w:rPr>
          <w:rFonts w:hint="eastAsia" w:ascii="仿宋_GB2312" w:hAnsi="宋体"/>
          <w:szCs w:val="32"/>
          <w:lang w:val="en-US" w:eastAsia="zh-CN"/>
        </w:rPr>
      </w:pPr>
      <w:r>
        <w:rPr>
          <w:rFonts w:hint="eastAsia"/>
          <w:lang w:val="en-US" w:eastAsia="zh-CN"/>
        </w:rPr>
        <w:t>2024年度财政拨款收入中，一般公共预算财政拨款收入</w:t>
      </w:r>
      <w:r>
        <w:rPr>
          <w:rFonts w:hint="eastAsia"/>
          <w:u w:val="single"/>
          <w:lang w:val="en-US" w:eastAsia="zh-CN"/>
        </w:rPr>
        <w:t xml:space="preserve">    </w:t>
      </w:r>
      <w:r>
        <w:rPr>
          <w:rFonts w:hint="eastAsia" w:ascii="仿宋" w:hAnsi="仿宋" w:eastAsia="仿宋" w:cs="仿宋"/>
          <w:lang w:val="en-US" w:eastAsia="zh-CN"/>
        </w:rPr>
        <w:t>424.37</w:t>
      </w:r>
      <w:r>
        <w:rPr>
          <w:rFonts w:hint="eastAsia"/>
          <w:lang w:val="en-US" w:eastAsia="zh-CN"/>
        </w:rPr>
        <w:t>万元，比2023年度决算数</w:t>
      </w:r>
      <w:r>
        <w:rPr>
          <w:rFonts w:hint="eastAsia" w:ascii="仿宋_GB2312" w:hAnsi="宋体"/>
          <w:szCs w:val="32"/>
          <w:lang w:val="en-US" w:eastAsia="zh-CN"/>
        </w:rPr>
        <w:t>减少9.07万元,减少主要原因：</w:t>
      </w:r>
      <w:r>
        <w:rPr>
          <w:rFonts w:hint="eastAsia" w:ascii="仿宋" w:hAnsi="仿宋" w:eastAsia="仿宋" w:cs="仿宋"/>
          <w:b w:val="0"/>
          <w:i w:val="0"/>
          <w:sz w:val="28"/>
          <w:u w:val="none"/>
          <w:lang w:eastAsia="zh-CN"/>
        </w:rPr>
        <w:t>一是</w:t>
      </w:r>
      <w:r>
        <w:rPr>
          <w:rFonts w:hint="eastAsia" w:ascii="仿宋" w:hAnsi="仿宋" w:eastAsia="仿宋" w:cs="仿宋"/>
          <w:b w:val="0"/>
          <w:i w:val="0"/>
          <w:sz w:val="28"/>
          <w:u w:val="none"/>
          <w:lang w:val="en-US" w:eastAsia="zh-CN"/>
        </w:rPr>
        <w:t>2024年车补未发，二是2023年补发2022年退休人员统筹待遇及其他，三是2024年医保只反映下半年数据，导致人员经费比2023年减少9.07万</w:t>
      </w:r>
      <w:r>
        <w:rPr>
          <w:rFonts w:hint="eastAsia" w:ascii="仿宋_GB2312" w:hAnsi="宋体"/>
          <w:szCs w:val="32"/>
          <w:lang w:val="en-US" w:eastAsia="zh-CN"/>
        </w:rPr>
        <w:t>。</w:t>
      </w:r>
      <w:r>
        <w:rPr>
          <w:rFonts w:hint="eastAsia"/>
          <w:lang w:val="en-US" w:eastAsia="zh-CN"/>
        </w:rPr>
        <w:t>政府性基金预算财政拨款收入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w:t>
      </w:r>
      <w:r>
        <w:rPr>
          <w:rFonts w:hint="eastAsia"/>
          <w:lang w:val="en-US" w:eastAsia="zh-CN"/>
        </w:rPr>
        <w:t>国有资本经营预算财政拨款收入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w:t>
      </w:r>
    </w:p>
    <w:p>
      <w:pPr>
        <w:bidi w:val="0"/>
        <w:jc w:val="center"/>
        <w:rPr>
          <w:rFonts w:hint="eastAsia" w:ascii="仿宋_GB2312" w:hAnsi="宋体" w:eastAsia="仿宋_GB2312"/>
          <w:bCs/>
          <w:sz w:val="32"/>
          <w:szCs w:val="32"/>
          <w:highlight w:val="none"/>
          <w:lang w:val="en-US" w:eastAsia="zh-CN"/>
        </w:rPr>
      </w:pPr>
      <w:r>
        <w:rPr>
          <w:rFonts w:hint="eastAsia" w:ascii="仿宋_GB2312" w:hAnsi="仿宋_GB2312" w:eastAsia="仿宋_GB2312" w:cs="仿宋_GB2312"/>
          <w:sz w:val="30"/>
          <w:szCs w:val="30"/>
          <w:lang w:val="en-US" w:eastAsia="zh-CN"/>
        </w:rPr>
        <w:t>图4：财政拨款收、支决算总计变动情况</w:t>
      </w:r>
    </w:p>
    <w:p>
      <w:pPr>
        <w:bidi w:val="0"/>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080000" cy="3810000"/>
                    </a:xfrm>
                    <a:prstGeom prst="rect">
                      <a:avLst/>
                    </a:prstGeom>
                    <a:noFill/>
                    <a:ln>
                      <a:noFill/>
                    </a:ln>
                  </pic:spPr>
                </pic:pic>
              </a:graphicData>
            </a:graphic>
          </wp:inline>
        </w:drawing>
      </w:r>
    </w:p>
    <w:p>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五、一般公共预算财政拨款支出决算情况说明</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（一）一般公共预算财政拨款支出决算总体情况。</w:t>
      </w:r>
    </w:p>
    <w:p>
      <w:pPr>
        <w:spacing w:before="0" w:after="0" w:line="360" w:lineRule="auto"/>
        <w:ind w:firstLine="510"/>
        <w:jc w:val="both"/>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2024</w:t>
      </w:r>
      <w:r>
        <w:rPr>
          <w:rFonts w:hint="eastAsia" w:ascii="仿宋_GB2312" w:hAnsi="仿宋_GB2312" w:eastAsia="仿宋_GB2312" w:cs="仿宋_GB2312"/>
          <w:bCs/>
          <w:kern w:val="44"/>
          <w:sz w:val="32"/>
          <w:szCs w:val="32"/>
          <w:highlight w:val="none"/>
          <w:lang w:val="en-US" w:eastAsia="zh-CN"/>
        </w:rPr>
        <w:t>年度一般公共预算财政拨</w:t>
      </w:r>
      <w:r>
        <w:rPr>
          <w:rFonts w:hint="eastAsia" w:ascii="仿宋_GB2312" w:eastAsia="仿宋_GB2312"/>
          <w:bCs/>
          <w:kern w:val="44"/>
          <w:sz w:val="32"/>
          <w:szCs w:val="32"/>
          <w:highlight w:val="none"/>
          <w:lang w:val="en-US" w:eastAsia="zh-CN"/>
        </w:rPr>
        <w:t>款支出</w:t>
      </w:r>
      <w:r>
        <w:rPr>
          <w:rFonts w:hint="eastAsia" w:ascii="仿宋_GB2312" w:eastAsia="仿宋_GB2312"/>
          <w:bCs/>
          <w:kern w:val="44"/>
          <w:sz w:val="32"/>
          <w:szCs w:val="32"/>
          <w:highlight w:val="none"/>
          <w:u w:val="none"/>
          <w:lang w:val="en-US" w:eastAsia="zh-CN"/>
        </w:rPr>
        <w:t>424.37万元</w:t>
      </w:r>
      <w:r>
        <w:rPr>
          <w:rFonts w:hint="eastAsia" w:ascii="仿宋_GB2312" w:eastAsia="仿宋_GB2312"/>
          <w:bCs/>
          <w:kern w:val="44"/>
          <w:sz w:val="32"/>
          <w:szCs w:val="32"/>
          <w:highlight w:val="none"/>
          <w:lang w:val="en-US" w:eastAsia="zh-CN"/>
        </w:rPr>
        <w:t>，占本年支出合计的</w:t>
      </w:r>
      <w:r>
        <w:rPr>
          <w:rFonts w:hint="eastAsia" w:ascii="仿宋_GB2312" w:eastAsia="仿宋_GB2312"/>
          <w:bCs/>
          <w:kern w:val="44"/>
          <w:sz w:val="32"/>
          <w:szCs w:val="32"/>
          <w:highlight w:val="none"/>
          <w:u w:val="none"/>
          <w:lang w:val="en-US" w:eastAsia="zh-CN"/>
        </w:rPr>
        <w:t>100.0%</w:t>
      </w:r>
      <w:r>
        <w:rPr>
          <w:rFonts w:hint="eastAsia" w:ascii="仿宋_GB2312" w:eastAsia="仿宋_GB2312"/>
          <w:bCs/>
          <w:kern w:val="44"/>
          <w:sz w:val="32"/>
          <w:szCs w:val="32"/>
          <w:highlight w:val="none"/>
          <w:lang w:val="en-US" w:eastAsia="zh-CN"/>
        </w:rPr>
        <w:t>。与2023年度相比，一般公共预算财政拨款支出减少9.07万元，下降2.1%,</w:t>
      </w:r>
      <w:r>
        <w:rPr>
          <w:rFonts w:hint="eastAsia" w:ascii="仿宋_GB2312" w:hAnsi="宋体" w:eastAsia="仿宋_GB2312"/>
          <w:bCs/>
          <w:sz w:val="32"/>
          <w:szCs w:val="32"/>
          <w:highlight w:val="none"/>
          <w:lang w:val="en-US" w:eastAsia="zh-CN"/>
        </w:rPr>
        <w:t>主要原因</w:t>
      </w:r>
      <w:r>
        <w:rPr>
          <w:rFonts w:hint="eastAsia" w:ascii="仿宋_GB2312" w:hAnsi="宋体"/>
          <w:bCs/>
          <w:sz w:val="32"/>
          <w:szCs w:val="32"/>
          <w:highlight w:val="none"/>
          <w:lang w:val="en-US" w:eastAsia="zh-CN"/>
        </w:rPr>
        <w:t>：</w:t>
      </w:r>
      <w:r>
        <w:rPr>
          <w:rFonts w:hint="eastAsia" w:ascii="仿宋" w:hAnsi="仿宋" w:eastAsia="仿宋" w:cs="仿宋"/>
          <w:b w:val="0"/>
          <w:i w:val="0"/>
          <w:sz w:val="28"/>
          <w:u w:val="none"/>
          <w:lang w:eastAsia="zh-CN"/>
        </w:rPr>
        <w:t>一是</w:t>
      </w:r>
      <w:r>
        <w:rPr>
          <w:rFonts w:hint="eastAsia" w:ascii="仿宋" w:hAnsi="仿宋" w:eastAsia="仿宋" w:cs="仿宋"/>
          <w:b w:val="0"/>
          <w:i w:val="0"/>
          <w:sz w:val="28"/>
          <w:u w:val="none"/>
          <w:lang w:val="en-US" w:eastAsia="zh-CN"/>
        </w:rPr>
        <w:t>2024年车补未发，二是2023年补发2022年退休人员统筹待遇及其他，三是2024年医保只反映下半年数据，导致人员经费比2023年减少9.07万。</w:t>
      </w:r>
      <w:bookmarkStart w:id="7" w:name="_GoBack"/>
      <w:bookmarkEnd w:id="7"/>
    </w:p>
    <w:p>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（二）一般公共预算财政拨款支出决算结构情况。</w:t>
      </w:r>
    </w:p>
    <w:p>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2024年</w:t>
      </w:r>
      <w:r>
        <w:rPr>
          <w:rFonts w:hint="eastAsia" w:ascii="仿宋_GB2312" w:eastAsia="仿宋_GB2312"/>
          <w:bCs/>
          <w:kern w:val="44"/>
          <w:sz w:val="32"/>
          <w:szCs w:val="32"/>
          <w:highlight w:val="none"/>
          <w:lang w:val="en-US" w:eastAsia="zh-CN"/>
        </w:rPr>
        <w:t>度</w:t>
      </w:r>
      <w:r>
        <w:rPr>
          <w:rFonts w:hint="eastAsia" w:ascii="仿宋_GB2312" w:hAnsi="仿宋_GB2312" w:eastAsia="仿宋_GB2312" w:cs="仿宋_GB2312"/>
          <w:bCs/>
          <w:kern w:val="44"/>
          <w:sz w:val="32"/>
          <w:szCs w:val="32"/>
          <w:highlight w:val="none"/>
          <w:lang w:val="en-US" w:eastAsia="zh-CN"/>
        </w:rPr>
        <w:t>一般公共预算</w:t>
      </w:r>
      <w:r>
        <w:rPr>
          <w:rFonts w:hint="eastAsia" w:ascii="仿宋_GB2312" w:eastAsia="仿宋_GB2312"/>
          <w:bCs/>
          <w:kern w:val="44"/>
          <w:sz w:val="32"/>
          <w:szCs w:val="32"/>
          <w:highlight w:val="none"/>
          <w:lang w:val="en-US" w:eastAsia="zh-CN"/>
        </w:rPr>
        <w:t>财政拨款支出</w:t>
      </w:r>
      <w:r>
        <w:rPr>
          <w:rFonts w:hint="eastAsia" w:ascii="仿宋_GB2312" w:eastAsia="仿宋_GB2312"/>
          <w:bCs/>
          <w:kern w:val="44"/>
          <w:sz w:val="32"/>
          <w:szCs w:val="32"/>
          <w:highlight w:val="none"/>
          <w:u w:val="none"/>
          <w:lang w:val="en-US" w:eastAsia="zh-CN"/>
        </w:rPr>
        <w:t>424.37</w:t>
      </w:r>
      <w:r>
        <w:rPr>
          <w:rFonts w:hint="eastAsia" w:ascii="仿宋_GB2312" w:eastAsia="仿宋_GB2312"/>
          <w:bCs/>
          <w:kern w:val="44"/>
          <w:sz w:val="32"/>
          <w:szCs w:val="32"/>
          <w:highlight w:val="none"/>
          <w:lang w:val="en-US" w:eastAsia="zh-CN"/>
        </w:rPr>
        <w:t>万元，主要用于以下方面：</w:t>
      </w:r>
    </w:p>
    <w:p>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1.一般公共服务支出类支出65.09万元，占15.34%。主要是用于</w:t>
      </w:r>
      <w:r>
        <w:rPr>
          <w:rFonts w:hint="eastAsia" w:ascii="仿宋_GB2312"/>
          <w:bCs/>
          <w:kern w:val="44"/>
          <w:sz w:val="32"/>
          <w:szCs w:val="32"/>
          <w:highlight w:val="none"/>
          <w:lang w:eastAsia="zh-CN"/>
        </w:rPr>
        <w:t>事业运行</w:t>
      </w:r>
      <w:r>
        <w:rPr>
          <w:rFonts w:hint="eastAsia" w:ascii="仿宋_GB2312"/>
          <w:bCs/>
          <w:kern w:val="44"/>
          <w:sz w:val="32"/>
          <w:szCs w:val="32"/>
          <w:highlight w:val="none"/>
          <w:lang w:val="en-US" w:eastAsia="zh-CN"/>
        </w:rPr>
        <w:t>65.09万元。</w:t>
      </w:r>
    </w:p>
    <w:p>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2.社会保障和就业支出类支出25.98万元，占6.12%。主要是用于</w:t>
      </w:r>
      <w:r>
        <w:rPr>
          <w:rFonts w:hint="eastAsia" w:ascii="仿宋_GB2312"/>
          <w:bCs/>
          <w:kern w:val="44"/>
          <w:sz w:val="32"/>
          <w:szCs w:val="32"/>
          <w:highlight w:val="none"/>
          <w:lang w:eastAsia="zh-CN"/>
        </w:rPr>
        <w:t>事业单位离退休</w:t>
      </w:r>
      <w:r>
        <w:rPr>
          <w:rFonts w:hint="eastAsia" w:ascii="仿宋_GB2312"/>
          <w:bCs/>
          <w:kern w:val="44"/>
          <w:sz w:val="32"/>
          <w:szCs w:val="32"/>
          <w:highlight w:val="none"/>
          <w:lang w:val="en-US" w:eastAsia="zh-CN"/>
        </w:rPr>
        <w:t>12.06万元</w:t>
      </w:r>
      <w:r>
        <w:rPr>
          <w:rFonts w:hint="eastAsia" w:ascii="仿宋_GB2312"/>
          <w:bCs/>
          <w:kern w:val="44"/>
          <w:sz w:val="32"/>
          <w:szCs w:val="32"/>
          <w:highlight w:val="none"/>
          <w:lang w:eastAsia="zh-CN"/>
        </w:rPr>
        <w:t>、机关事业单位基本养老保险缴费支出</w:t>
      </w:r>
      <w:r>
        <w:rPr>
          <w:rFonts w:hint="eastAsia" w:ascii="仿宋_GB2312"/>
          <w:bCs/>
          <w:kern w:val="44"/>
          <w:sz w:val="32"/>
          <w:szCs w:val="32"/>
          <w:highlight w:val="none"/>
          <w:lang w:val="en-US" w:eastAsia="zh-CN"/>
        </w:rPr>
        <w:t>6.23万元</w:t>
      </w:r>
      <w:r>
        <w:rPr>
          <w:rFonts w:hint="eastAsia" w:ascii="仿宋_GB2312"/>
          <w:bCs/>
          <w:kern w:val="44"/>
          <w:sz w:val="32"/>
          <w:szCs w:val="32"/>
          <w:highlight w:val="none"/>
          <w:lang w:eastAsia="zh-CN"/>
        </w:rPr>
        <w:t>、机关事业单位职业年金缴费支出</w:t>
      </w:r>
      <w:r>
        <w:rPr>
          <w:rFonts w:hint="eastAsia" w:ascii="仿宋_GB2312"/>
          <w:bCs/>
          <w:kern w:val="44"/>
          <w:sz w:val="32"/>
          <w:szCs w:val="32"/>
          <w:highlight w:val="none"/>
          <w:lang w:val="en-US" w:eastAsia="zh-CN"/>
        </w:rPr>
        <w:t>7.61万元、其他社会保障和就业</w:t>
      </w:r>
      <w:r>
        <w:rPr>
          <w:rFonts w:hint="eastAsia" w:ascii="仿宋_GB2312"/>
          <w:bCs/>
          <w:kern w:val="44"/>
          <w:sz w:val="32"/>
          <w:szCs w:val="32"/>
          <w:highlight w:val="none"/>
          <w:lang w:eastAsia="zh-CN"/>
        </w:rPr>
        <w:t>支出</w:t>
      </w:r>
      <w:r>
        <w:rPr>
          <w:rFonts w:hint="eastAsia" w:ascii="仿宋_GB2312"/>
          <w:bCs/>
          <w:kern w:val="44"/>
          <w:sz w:val="32"/>
          <w:szCs w:val="32"/>
          <w:highlight w:val="none"/>
          <w:lang w:val="en-US" w:eastAsia="zh-CN"/>
        </w:rPr>
        <w:t>0.08万元</w:t>
      </w:r>
      <w:r>
        <w:rPr>
          <w:rFonts w:hint="eastAsia" w:ascii="仿宋_GB2312"/>
          <w:bCs/>
          <w:kern w:val="44"/>
          <w:sz w:val="32"/>
          <w:szCs w:val="32"/>
          <w:highlight w:val="none"/>
          <w:lang w:eastAsia="zh-CN"/>
        </w:rPr>
        <w:t>。</w:t>
      </w:r>
    </w:p>
    <w:p>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3.卫生健康支出类支出1.50万元，占0.35%。主要是用于事业单位医疗1.5万元。</w:t>
      </w:r>
    </w:p>
    <w:p>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4.城乡社区支出类支出18.20万元，占4.29%。主要是用于</w:t>
      </w:r>
      <w:r>
        <w:rPr>
          <w:rFonts w:hint="eastAsia" w:ascii="仿宋_GB2312"/>
          <w:bCs/>
          <w:kern w:val="44"/>
          <w:sz w:val="32"/>
          <w:szCs w:val="32"/>
          <w:highlight w:val="none"/>
          <w:lang w:eastAsia="zh-CN"/>
        </w:rPr>
        <w:t>城乡社区规划与管理</w:t>
      </w:r>
      <w:r>
        <w:rPr>
          <w:rFonts w:hint="eastAsia" w:ascii="仿宋_GB2312"/>
          <w:bCs/>
          <w:kern w:val="44"/>
          <w:sz w:val="32"/>
          <w:szCs w:val="32"/>
          <w:highlight w:val="none"/>
          <w:lang w:val="en-US" w:eastAsia="zh-CN"/>
        </w:rPr>
        <w:t>18.2万元。</w:t>
      </w:r>
    </w:p>
    <w:p>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5.农林水支出类支出308.25万元，占72.64%。主要是用于</w:t>
      </w:r>
      <w:r>
        <w:rPr>
          <w:rFonts w:hint="eastAsia" w:ascii="仿宋_GB2312"/>
          <w:bCs/>
          <w:kern w:val="44"/>
          <w:sz w:val="32"/>
          <w:szCs w:val="32"/>
          <w:highlight w:val="none"/>
          <w:lang w:eastAsia="zh-CN"/>
        </w:rPr>
        <w:t>农村社会事业</w:t>
      </w:r>
      <w:r>
        <w:rPr>
          <w:rFonts w:hint="eastAsia" w:ascii="仿宋_GB2312"/>
          <w:bCs/>
          <w:kern w:val="44"/>
          <w:sz w:val="32"/>
          <w:szCs w:val="32"/>
          <w:highlight w:val="none"/>
          <w:lang w:val="en-US" w:eastAsia="zh-CN"/>
        </w:rPr>
        <w:t>74.65万元、对村级公益事业建设的补助25万元、对村民委员会和村党支部的补助208.6万元。</w:t>
      </w:r>
    </w:p>
    <w:p>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6.住房保障支出类支出5.34万元，占1.26%。主要是用于</w:t>
      </w:r>
      <w:r>
        <w:rPr>
          <w:rFonts w:hint="eastAsia" w:ascii="仿宋_GB2312"/>
          <w:bCs/>
          <w:kern w:val="44"/>
          <w:sz w:val="32"/>
          <w:szCs w:val="32"/>
          <w:highlight w:val="none"/>
          <w:lang w:eastAsia="zh-CN"/>
        </w:rPr>
        <w:t>住房公积金</w:t>
      </w:r>
      <w:r>
        <w:rPr>
          <w:rFonts w:hint="eastAsia" w:ascii="仿宋_GB2312"/>
          <w:bCs/>
          <w:kern w:val="44"/>
          <w:sz w:val="32"/>
          <w:szCs w:val="32"/>
          <w:highlight w:val="none"/>
          <w:lang w:val="en-US" w:eastAsia="zh-CN"/>
        </w:rPr>
        <w:t>5.34万元。</w:t>
      </w:r>
    </w:p>
    <w:p>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eastAsia="仿宋_GB2312"/>
          <w:bCs/>
          <w:kern w:val="44"/>
          <w:sz w:val="32"/>
          <w:szCs w:val="32"/>
          <w:highlight w:val="none"/>
          <w:lang w:val="en-US" w:eastAsia="zh-CN"/>
        </w:rPr>
        <w:t>（按一般公共预算财政拨款支出功能分类科目列举，简述本部门使用科目）</w:t>
      </w:r>
    </w:p>
    <w:p>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（三）一般公共预算财政拨款支出决算具体情况。</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cs="仿宋_GB2312"/>
          <w:bCs/>
          <w:kern w:val="44"/>
          <w:sz w:val="32"/>
          <w:szCs w:val="32"/>
          <w:highlight w:val="none"/>
          <w:lang w:val="en-US" w:eastAsia="zh-CN"/>
        </w:rPr>
      </w:pPr>
      <w:r>
        <w:rPr>
          <w:rFonts w:hint="eastAsia" w:ascii="仿宋_GB2312" w:hAnsi="仿宋_GB2312" w:cs="仿宋_GB2312"/>
          <w:bCs/>
          <w:kern w:val="44"/>
          <w:sz w:val="32"/>
          <w:szCs w:val="32"/>
          <w:highlight w:val="none"/>
          <w:lang w:val="en-US" w:eastAsia="zh-CN"/>
        </w:rPr>
        <w:t>2024年度一般公共预算财政拨款支出年初预算为378.49万元，</w:t>
      </w:r>
      <w:r>
        <w:rPr>
          <w:rFonts w:hint="eastAsia"/>
          <w:bCs/>
          <w:color w:val="000000"/>
          <w:kern w:val="44"/>
          <w:szCs w:val="32"/>
          <w:lang w:val="en-US" w:eastAsia="zh-CN"/>
        </w:rPr>
        <w:t>调整后预算为424.37万元，</w:t>
      </w:r>
      <w:r>
        <w:rPr>
          <w:bCs/>
          <w:color w:val="000000"/>
          <w:kern w:val="44"/>
          <w:szCs w:val="32"/>
        </w:rPr>
        <w:t>支出决算为</w:t>
      </w:r>
      <w:r>
        <w:rPr>
          <w:rFonts w:hint="eastAsia"/>
          <w:bCs/>
          <w:color w:val="000000"/>
          <w:kern w:val="44"/>
          <w:szCs w:val="32"/>
          <w:u w:val="single"/>
          <w:lang w:val="en-US" w:eastAsia="zh-CN"/>
        </w:rPr>
        <w:t>424.37</w:t>
      </w:r>
      <w:r>
        <w:rPr>
          <w:bCs/>
          <w:color w:val="000000"/>
          <w:kern w:val="44"/>
          <w:szCs w:val="32"/>
        </w:rPr>
        <w:t>万元，完成</w:t>
      </w:r>
      <w:r>
        <w:rPr>
          <w:rFonts w:hint="eastAsia"/>
          <w:bCs/>
          <w:color w:val="000000"/>
          <w:kern w:val="44"/>
          <w:szCs w:val="32"/>
          <w:lang w:val="en-US" w:eastAsia="zh-CN"/>
        </w:rPr>
        <w:t>调整</w:t>
      </w:r>
      <w:r>
        <w:rPr>
          <w:bCs/>
          <w:color w:val="000000"/>
          <w:kern w:val="44"/>
          <w:szCs w:val="32"/>
        </w:rPr>
        <w:t>预算的</w:t>
      </w:r>
      <w:r>
        <w:rPr>
          <w:bCs/>
          <w:color w:val="000000"/>
          <w:kern w:val="44"/>
          <w:szCs w:val="32"/>
          <w:u w:val="single"/>
        </w:rPr>
        <w:t>100</w:t>
      </w:r>
      <w:r>
        <w:rPr>
          <w:bCs/>
          <w:color w:val="000000"/>
          <w:kern w:val="44"/>
          <w:szCs w:val="32"/>
        </w:rPr>
        <w:t>%。</w:t>
      </w:r>
      <w:r>
        <w:rPr>
          <w:rFonts w:hint="eastAsia" w:ascii="仿宋_GB2312" w:hAnsi="仿宋_GB2312" w:cs="仿宋_GB2312"/>
          <w:bCs/>
          <w:kern w:val="44"/>
          <w:sz w:val="32"/>
          <w:szCs w:val="32"/>
          <w:highlight w:val="none"/>
          <w:lang w:val="en-US" w:eastAsia="zh-CN"/>
        </w:rPr>
        <w:t xml:space="preserve">其中： </w:t>
      </w:r>
    </w:p>
    <w:p>
      <w:pPr>
        <w:pageBreakBefore w:val="0"/>
        <w:widowControl w:val="0"/>
        <w:kinsoku/>
        <w:wordWrap/>
        <w:overflowPunct/>
        <w:topLinePunct w:val="0"/>
        <w:bidi w:val="0"/>
        <w:adjustRightInd w:val="0"/>
        <w:snapToGrid w:val="0"/>
        <w:spacing w:line="360" w:lineRule="auto"/>
        <w:ind w:firstLine="643" w:firstLineChars="200"/>
        <w:jc w:val="both"/>
        <w:textAlignment w:val="auto"/>
        <w:rPr>
          <w:rFonts w:hint="eastAsia" w:ascii="仿宋_GB2312" w:hAnsi="仿宋_GB2312" w:eastAsia="仿宋_GB2312" w:cs="仿宋_GB2312"/>
          <w:b/>
          <w:bCs w:val="0"/>
          <w:kern w:val="44"/>
          <w:sz w:val="32"/>
          <w:szCs w:val="32"/>
          <w:highlight w:val="none"/>
          <w:lang w:val="en-US" w:eastAsia="zh-CN"/>
        </w:rPr>
      </w:pPr>
      <w:r>
        <w:rPr>
          <w:rFonts w:hint="eastAsia" w:ascii="仿宋_GB2312" w:hAnsi="仿宋_GB2312" w:eastAsia="仿宋_GB2312" w:cs="仿宋_GB2312"/>
          <w:b/>
          <w:bCs w:val="0"/>
          <w:kern w:val="44"/>
          <w:sz w:val="32"/>
          <w:szCs w:val="32"/>
          <w:highlight w:val="none"/>
          <w:lang w:val="en-US" w:eastAsia="zh-CN"/>
        </w:rPr>
        <w:t>(一般公共预算财政拨款支出决算具体情况，按支出功能分类</w:t>
      </w:r>
      <w:r>
        <w:rPr>
          <w:rFonts w:hint="eastAsia" w:ascii="仿宋_GB2312" w:hAnsi="仿宋_GB2312" w:cs="仿宋_GB2312"/>
          <w:b/>
          <w:bCs w:val="0"/>
          <w:kern w:val="44"/>
          <w:sz w:val="32"/>
          <w:szCs w:val="32"/>
          <w:highlight w:val="none"/>
          <w:lang w:val="en-US" w:eastAsia="zh-CN"/>
        </w:rPr>
        <w:t>项</w:t>
      </w:r>
      <w:r>
        <w:rPr>
          <w:rFonts w:hint="eastAsia" w:ascii="仿宋_GB2312" w:hAnsi="仿宋_GB2312" w:eastAsia="仿宋_GB2312" w:cs="仿宋_GB2312"/>
          <w:b/>
          <w:bCs w:val="0"/>
          <w:kern w:val="44"/>
          <w:sz w:val="32"/>
          <w:szCs w:val="32"/>
          <w:highlight w:val="none"/>
          <w:lang w:val="en-US" w:eastAsia="zh-CN"/>
        </w:rPr>
        <w:t>级科目逐类分析，简述本部门使用科目)</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1.一般公共服务支出具体包括：</w:t>
      </w:r>
    </w:p>
    <w:p>
      <w:pPr>
        <w:bidi w:val="0"/>
        <w:ind w:firstLine="640" w:firstLineChars="200"/>
        <w:jc w:val="both"/>
        <w:rPr>
          <w:rFonts w:hint="eastAsia" w:ascii="仿宋_GB2312" w:hAnsi="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（1）一般公共服务支出（类）财政事务（款）</w:t>
      </w:r>
      <w:r>
        <w:rPr>
          <w:rFonts w:hint="eastAsia" w:ascii="仿宋_GB2312" w:hAnsi="仿宋_GB2312" w:cs="仿宋_GB2312"/>
          <w:bCs/>
          <w:kern w:val="44"/>
          <w:sz w:val="32"/>
          <w:szCs w:val="32"/>
          <w:highlight w:val="none"/>
          <w:lang w:val="en-US" w:eastAsia="zh-CN"/>
        </w:rPr>
        <w:t>财政委托业务支出</w:t>
      </w:r>
      <w:r>
        <w:rPr>
          <w:rFonts w:hint="eastAsia" w:ascii="仿宋_GB2312" w:hAnsi="仿宋_GB2312" w:eastAsia="仿宋_GB2312" w:cs="仿宋_GB2312"/>
          <w:bCs/>
          <w:kern w:val="44"/>
          <w:sz w:val="32"/>
          <w:szCs w:val="32"/>
          <w:highlight w:val="none"/>
          <w:lang w:val="en-US" w:eastAsia="zh-CN"/>
        </w:rPr>
        <w:t xml:space="preserve">（项）年初预算为 </w:t>
      </w:r>
      <w:r>
        <w:rPr>
          <w:rFonts w:hint="eastAsia" w:ascii="仿宋_GB2312" w:hAnsi="仿宋_GB2312" w:cs="仿宋_GB2312"/>
          <w:bCs/>
          <w:kern w:val="44"/>
          <w:sz w:val="32"/>
          <w:szCs w:val="32"/>
          <w:highlight w:val="none"/>
          <w:lang w:val="en-US" w:eastAsia="zh-CN"/>
        </w:rPr>
        <w:t>6.5</w:t>
      </w:r>
      <w:r>
        <w:rPr>
          <w:rFonts w:hint="eastAsia" w:ascii="仿宋_GB2312" w:hAnsi="仿宋_GB2312" w:eastAsia="仿宋_GB2312" w:cs="仿宋_GB2312"/>
          <w:bCs/>
          <w:kern w:val="44"/>
          <w:sz w:val="32"/>
          <w:szCs w:val="32"/>
          <w:highlight w:val="none"/>
          <w:lang w:val="en-US" w:eastAsia="zh-CN"/>
        </w:rPr>
        <w:t>万元，支出决算为</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万元，完成年初预算的</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%，支出决算数</w:t>
      </w:r>
      <w:r>
        <w:rPr>
          <w:rFonts w:hint="eastAsia" w:ascii="仿宋_GB2312" w:hAnsi="仿宋_GB2312" w:cs="仿宋_GB2312"/>
          <w:bCs/>
          <w:kern w:val="44"/>
          <w:sz w:val="32"/>
          <w:szCs w:val="32"/>
          <w:highlight w:val="none"/>
          <w:lang w:val="en-US" w:eastAsia="zh-CN"/>
        </w:rPr>
        <w:t>小</w:t>
      </w:r>
      <w:r>
        <w:rPr>
          <w:rFonts w:hint="eastAsia" w:ascii="仿宋_GB2312" w:hAnsi="仿宋_GB2312" w:eastAsia="仿宋_GB2312" w:cs="仿宋_GB2312"/>
          <w:bCs/>
          <w:kern w:val="44"/>
          <w:sz w:val="32"/>
          <w:szCs w:val="32"/>
          <w:highlight w:val="none"/>
          <w:lang w:val="en-US" w:eastAsia="zh-CN"/>
        </w:rPr>
        <w:t>于年初预算数</w:t>
      </w:r>
      <w:r>
        <w:rPr>
          <w:rFonts w:hint="eastAsia" w:ascii="仿宋_GB2312" w:hAnsi="仿宋_GB2312" w:cs="仿宋_GB2312"/>
          <w:bCs/>
          <w:kern w:val="44"/>
          <w:sz w:val="32"/>
          <w:szCs w:val="32"/>
          <w:highlight w:val="none"/>
          <w:lang w:val="en-US" w:eastAsia="zh-CN"/>
        </w:rPr>
        <w:t>的原因是此项支出当年未执行。</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cs="仿宋_GB2312"/>
          <w:bCs/>
          <w:kern w:val="44"/>
          <w:sz w:val="32"/>
          <w:szCs w:val="32"/>
          <w:highlight w:val="none"/>
          <w:lang w:val="en-US" w:eastAsia="zh-CN"/>
        </w:rPr>
        <w:t>（2）</w:t>
      </w:r>
      <w:r>
        <w:rPr>
          <w:rFonts w:hint="eastAsia" w:ascii="仿宋_GB2312" w:hAnsi="仿宋_GB2312" w:eastAsia="仿宋_GB2312" w:cs="仿宋_GB2312"/>
          <w:bCs/>
          <w:kern w:val="44"/>
          <w:sz w:val="32"/>
          <w:szCs w:val="32"/>
          <w:highlight w:val="none"/>
          <w:lang w:val="en-US" w:eastAsia="zh-CN"/>
        </w:rPr>
        <w:t xml:space="preserve">一般公共服务支出（类）财政事务（款）事业运行（项）年初预算为 </w:t>
      </w:r>
      <w:r>
        <w:rPr>
          <w:rFonts w:hint="eastAsia" w:ascii="仿宋_GB2312" w:hAnsi="仿宋_GB2312" w:cs="仿宋_GB2312"/>
          <w:bCs/>
          <w:kern w:val="44"/>
          <w:sz w:val="32"/>
          <w:szCs w:val="32"/>
          <w:highlight w:val="none"/>
          <w:lang w:val="en-US" w:eastAsia="zh-CN"/>
        </w:rPr>
        <w:t>56.1</w:t>
      </w:r>
      <w:r>
        <w:rPr>
          <w:rFonts w:hint="eastAsia" w:ascii="仿宋_GB2312" w:hAnsi="仿宋_GB2312" w:eastAsia="仿宋_GB2312" w:cs="仿宋_GB2312"/>
          <w:bCs/>
          <w:kern w:val="44"/>
          <w:sz w:val="32"/>
          <w:szCs w:val="32"/>
          <w:highlight w:val="none"/>
          <w:lang w:val="en-US" w:eastAsia="zh-CN"/>
        </w:rPr>
        <w:t>万元，支出决算为65.09万元，完成年初预算的</w:t>
      </w:r>
      <w:r>
        <w:rPr>
          <w:rFonts w:hint="eastAsia" w:ascii="仿宋_GB2312" w:hAnsi="仿宋_GB2312" w:cs="仿宋_GB2312"/>
          <w:bCs/>
          <w:kern w:val="44"/>
          <w:sz w:val="32"/>
          <w:szCs w:val="32"/>
          <w:highlight w:val="none"/>
          <w:lang w:val="en-US" w:eastAsia="zh-CN"/>
        </w:rPr>
        <w:t>116</w:t>
      </w:r>
      <w:r>
        <w:rPr>
          <w:rFonts w:hint="eastAsia" w:ascii="仿宋_GB2312" w:hAnsi="仿宋_GB2312" w:eastAsia="仿宋_GB2312" w:cs="仿宋_GB2312"/>
          <w:bCs/>
          <w:kern w:val="44"/>
          <w:sz w:val="32"/>
          <w:szCs w:val="32"/>
          <w:highlight w:val="none"/>
          <w:lang w:val="en-US" w:eastAsia="zh-CN"/>
        </w:rPr>
        <w:t>%，支出决算数大于年初预算数(凡是年中有追加预算的或决算数低于年初预算数95%的应作原因说明)的主要原因：</w:t>
      </w:r>
      <w:r>
        <w:rPr>
          <w:rFonts w:hint="eastAsia" w:ascii="仿宋_GB2312" w:hAnsi="仿宋_GB2312" w:cs="仿宋_GB2312"/>
          <w:bCs/>
          <w:kern w:val="44"/>
          <w:sz w:val="32"/>
          <w:szCs w:val="32"/>
          <w:highlight w:val="none"/>
          <w:lang w:val="en-US" w:eastAsia="zh-CN"/>
        </w:rPr>
        <w:t>24年做预算是按23年12月工资表为准，当时调走了一人，是在职4人预算，24年初又补充调入一人，是在职5人执行。</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2.社会保障和就业支出具体包括：</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（1）社会保障和就业支出（类）行政事业单位养老支出（款）事业单位离退休（项）年初预算为 </w:t>
      </w:r>
      <w:r>
        <w:rPr>
          <w:rFonts w:hint="eastAsia" w:ascii="仿宋_GB2312" w:hAnsi="仿宋_GB2312" w:cs="仿宋_GB2312"/>
          <w:bCs/>
          <w:kern w:val="44"/>
          <w:sz w:val="32"/>
          <w:szCs w:val="32"/>
          <w:highlight w:val="none"/>
          <w:lang w:val="en-US" w:eastAsia="zh-CN"/>
        </w:rPr>
        <w:t>11.49</w:t>
      </w:r>
      <w:r>
        <w:rPr>
          <w:rFonts w:hint="eastAsia" w:ascii="仿宋_GB2312" w:hAnsi="仿宋_GB2312" w:eastAsia="仿宋_GB2312" w:cs="仿宋_GB2312"/>
          <w:bCs/>
          <w:kern w:val="44"/>
          <w:sz w:val="32"/>
          <w:szCs w:val="32"/>
          <w:highlight w:val="none"/>
          <w:lang w:val="en-US" w:eastAsia="zh-CN"/>
        </w:rPr>
        <w:t>万元，支出决算为12.06万元，完成年初预算的</w:t>
      </w:r>
      <w:r>
        <w:rPr>
          <w:rFonts w:hint="eastAsia" w:ascii="仿宋_GB2312" w:hAnsi="仿宋_GB2312" w:cs="仿宋_GB2312"/>
          <w:bCs/>
          <w:kern w:val="44"/>
          <w:sz w:val="32"/>
          <w:szCs w:val="32"/>
          <w:highlight w:val="none"/>
          <w:lang w:val="en-US" w:eastAsia="zh-CN"/>
        </w:rPr>
        <w:t>104.96</w:t>
      </w:r>
      <w:r>
        <w:rPr>
          <w:rFonts w:hint="eastAsia" w:ascii="仿宋_GB2312" w:hAnsi="仿宋_GB2312" w:eastAsia="仿宋_GB2312" w:cs="仿宋_GB2312"/>
          <w:bCs/>
          <w:kern w:val="44"/>
          <w:sz w:val="32"/>
          <w:szCs w:val="32"/>
          <w:highlight w:val="none"/>
          <w:lang w:val="en-US" w:eastAsia="zh-CN"/>
        </w:rPr>
        <w:t>%，支出决算数大于年初预算数(凡是年中有追加预算的或决算数低于年初预算数95%的应作原因说明)的主要原因：</w:t>
      </w:r>
      <w:r>
        <w:rPr>
          <w:rFonts w:hint="eastAsia" w:ascii="仿宋_GB2312" w:hAnsi="仿宋_GB2312" w:cs="仿宋_GB2312"/>
          <w:bCs/>
          <w:kern w:val="44"/>
          <w:sz w:val="32"/>
          <w:szCs w:val="32"/>
          <w:highlight w:val="none"/>
          <w:lang w:val="en-US" w:eastAsia="zh-CN"/>
        </w:rPr>
        <w:t>增加了退休人员1人</w:t>
      </w:r>
      <w:r>
        <w:rPr>
          <w:rFonts w:hint="eastAsia" w:ascii="仿宋_GB2312" w:hAnsi="仿宋_GB2312" w:eastAsia="仿宋_GB2312" w:cs="仿宋_GB2312"/>
          <w:bCs/>
          <w:kern w:val="44"/>
          <w:sz w:val="32"/>
          <w:szCs w:val="32"/>
          <w:highlight w:val="none"/>
          <w:lang w:val="en-US" w:eastAsia="zh-CN"/>
        </w:rPr>
        <w:t>。</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（2）社会保障和就业支出（类）行政事业单位养老支出（款）机关事业单位基本养老保险缴费支出（项）年初预算为</w:t>
      </w:r>
      <w:r>
        <w:rPr>
          <w:rFonts w:hint="eastAsia" w:ascii="仿宋_GB2312" w:hAnsi="仿宋_GB2312" w:cs="仿宋_GB2312"/>
          <w:bCs/>
          <w:kern w:val="44"/>
          <w:sz w:val="32"/>
          <w:szCs w:val="32"/>
          <w:highlight w:val="none"/>
          <w:lang w:val="en-US" w:eastAsia="zh-CN"/>
        </w:rPr>
        <w:t>5.01</w:t>
      </w:r>
      <w:r>
        <w:rPr>
          <w:rFonts w:hint="eastAsia" w:ascii="仿宋_GB2312" w:hAnsi="仿宋_GB2312" w:eastAsia="仿宋_GB2312" w:cs="仿宋_GB2312"/>
          <w:bCs/>
          <w:kern w:val="44"/>
          <w:sz w:val="32"/>
          <w:szCs w:val="32"/>
          <w:highlight w:val="none"/>
          <w:lang w:val="en-US" w:eastAsia="zh-CN"/>
        </w:rPr>
        <w:t>万元，支出决算为6.23万元，完成年初预算的</w:t>
      </w:r>
      <w:r>
        <w:rPr>
          <w:rFonts w:hint="eastAsia" w:ascii="仿宋_GB2312" w:hAnsi="仿宋_GB2312" w:cs="仿宋_GB2312"/>
          <w:bCs/>
          <w:kern w:val="44"/>
          <w:sz w:val="32"/>
          <w:szCs w:val="32"/>
          <w:highlight w:val="none"/>
          <w:lang w:val="en-US" w:eastAsia="zh-CN"/>
        </w:rPr>
        <w:t>124.35</w:t>
      </w:r>
      <w:r>
        <w:rPr>
          <w:rFonts w:hint="eastAsia" w:ascii="仿宋_GB2312" w:hAnsi="仿宋_GB2312" w:eastAsia="仿宋_GB2312" w:cs="仿宋_GB2312"/>
          <w:bCs/>
          <w:kern w:val="44"/>
          <w:sz w:val="32"/>
          <w:szCs w:val="32"/>
          <w:highlight w:val="none"/>
          <w:lang w:val="en-US" w:eastAsia="zh-CN"/>
        </w:rPr>
        <w:t>%，支出决算数大于年初预算数(凡是年中有追加预算的或决算数低于年初预算数95%的应作原因说明)的主要原因：</w:t>
      </w:r>
      <w:r>
        <w:rPr>
          <w:rFonts w:hint="eastAsia" w:ascii="仿宋_GB2312" w:hAnsi="仿宋_GB2312" w:cs="仿宋_GB2312"/>
          <w:bCs/>
          <w:kern w:val="44"/>
          <w:sz w:val="32"/>
          <w:szCs w:val="32"/>
          <w:highlight w:val="none"/>
          <w:lang w:val="en-US" w:eastAsia="zh-CN"/>
        </w:rPr>
        <w:t>执行时比预算增加一人</w:t>
      </w:r>
      <w:r>
        <w:rPr>
          <w:rFonts w:hint="eastAsia" w:ascii="仿宋_GB2312" w:hAnsi="仿宋_GB2312" w:eastAsia="仿宋_GB2312" w:cs="仿宋_GB2312"/>
          <w:bCs/>
          <w:kern w:val="44"/>
          <w:sz w:val="32"/>
          <w:szCs w:val="32"/>
          <w:highlight w:val="none"/>
          <w:lang w:val="en-US" w:eastAsia="zh-CN"/>
        </w:rPr>
        <w:t>。</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（3）社会保障和就业支出（类）行政事业单位养老支出（款）机关事业单位职业年金缴费支出（项）年初预算为 </w:t>
      </w:r>
      <w:r>
        <w:rPr>
          <w:rFonts w:hint="eastAsia" w:ascii="仿宋_GB2312" w:hAnsi="仿宋_GB2312" w:cs="仿宋_GB2312"/>
          <w:bCs/>
          <w:kern w:val="44"/>
          <w:sz w:val="32"/>
          <w:szCs w:val="32"/>
          <w:highlight w:val="none"/>
          <w:lang w:val="en-US" w:eastAsia="zh-CN"/>
        </w:rPr>
        <w:t>2.51</w:t>
      </w:r>
      <w:r>
        <w:rPr>
          <w:rFonts w:hint="eastAsia" w:ascii="仿宋_GB2312" w:hAnsi="仿宋_GB2312" w:eastAsia="仿宋_GB2312" w:cs="仿宋_GB2312"/>
          <w:bCs/>
          <w:kern w:val="44"/>
          <w:sz w:val="32"/>
          <w:szCs w:val="32"/>
          <w:highlight w:val="none"/>
          <w:lang w:val="en-US" w:eastAsia="zh-CN"/>
        </w:rPr>
        <w:t>万元，支出决算为7.61万元，完成年初预算的</w:t>
      </w:r>
      <w:r>
        <w:rPr>
          <w:rFonts w:hint="eastAsia" w:ascii="仿宋_GB2312" w:hAnsi="仿宋_GB2312" w:cs="仿宋_GB2312"/>
          <w:bCs/>
          <w:kern w:val="44"/>
          <w:sz w:val="32"/>
          <w:szCs w:val="32"/>
          <w:highlight w:val="none"/>
          <w:lang w:val="en-US" w:eastAsia="zh-CN"/>
        </w:rPr>
        <w:t>303.18</w:t>
      </w:r>
      <w:r>
        <w:rPr>
          <w:rFonts w:hint="eastAsia" w:ascii="仿宋_GB2312" w:hAnsi="仿宋_GB2312" w:eastAsia="仿宋_GB2312" w:cs="仿宋_GB2312"/>
          <w:bCs/>
          <w:kern w:val="44"/>
          <w:sz w:val="32"/>
          <w:szCs w:val="32"/>
          <w:highlight w:val="none"/>
          <w:lang w:val="en-US" w:eastAsia="zh-CN"/>
        </w:rPr>
        <w:t>%，支出决算数大于年初预算数(凡是年中有追加预算的或决算数低于年初预算数95%的应作原因说明)的主要原因：一是</w:t>
      </w:r>
      <w:r>
        <w:rPr>
          <w:rFonts w:hint="eastAsia" w:ascii="仿宋_GB2312" w:hAnsi="仿宋_GB2312" w:cs="仿宋_GB2312"/>
          <w:bCs/>
          <w:kern w:val="44"/>
          <w:sz w:val="32"/>
          <w:szCs w:val="32"/>
          <w:highlight w:val="none"/>
          <w:lang w:val="en-US" w:eastAsia="zh-CN"/>
        </w:rPr>
        <w:t>执行时比预算增加一人</w:t>
      </w:r>
      <w:r>
        <w:rPr>
          <w:rFonts w:hint="eastAsia" w:ascii="仿宋_GB2312" w:hAnsi="仿宋_GB2312" w:eastAsia="仿宋_GB2312" w:cs="仿宋_GB2312"/>
          <w:bCs/>
          <w:kern w:val="44"/>
          <w:sz w:val="32"/>
          <w:szCs w:val="32"/>
          <w:highlight w:val="none"/>
          <w:lang w:val="en-US" w:eastAsia="zh-CN"/>
        </w:rPr>
        <w:t>；二是</w:t>
      </w:r>
      <w:r>
        <w:rPr>
          <w:rFonts w:hint="eastAsia" w:ascii="仿宋_GB2312" w:hAnsi="仿宋_GB2312" w:cs="仿宋_GB2312"/>
          <w:bCs/>
          <w:kern w:val="44"/>
          <w:sz w:val="32"/>
          <w:szCs w:val="32"/>
          <w:highlight w:val="none"/>
          <w:lang w:val="en-US" w:eastAsia="zh-CN"/>
        </w:rPr>
        <w:t>退休增人增加职业年金做实</w:t>
      </w:r>
      <w:r>
        <w:rPr>
          <w:rFonts w:hint="eastAsia" w:ascii="仿宋_GB2312" w:hAnsi="仿宋_GB2312" w:eastAsia="仿宋_GB2312" w:cs="仿宋_GB2312"/>
          <w:bCs/>
          <w:kern w:val="44"/>
          <w:sz w:val="32"/>
          <w:szCs w:val="32"/>
          <w:highlight w:val="none"/>
          <w:lang w:val="en-US" w:eastAsia="zh-CN"/>
        </w:rPr>
        <w:t>。</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（4）社会保障和就业支出（类）其他社会保障和就业支出（款）其他社会保障和就业支出（项）年初预算为 </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万元，支出决算为0.08万元，</w:t>
      </w:r>
      <w:r>
        <w:rPr>
          <w:rFonts w:hint="eastAsia" w:ascii="仿宋_GB2312" w:hAnsi="仿宋_GB2312" w:cs="仿宋_GB2312"/>
          <w:bCs/>
          <w:kern w:val="44"/>
          <w:sz w:val="32"/>
          <w:szCs w:val="32"/>
          <w:highlight w:val="none"/>
          <w:lang w:val="en-US" w:eastAsia="zh-CN"/>
        </w:rPr>
        <w:t>超</w:t>
      </w:r>
      <w:r>
        <w:rPr>
          <w:rFonts w:hint="eastAsia" w:ascii="仿宋_GB2312" w:hAnsi="仿宋_GB2312" w:eastAsia="仿宋_GB2312" w:cs="仿宋_GB2312"/>
          <w:bCs/>
          <w:kern w:val="44"/>
          <w:sz w:val="32"/>
          <w:szCs w:val="32"/>
          <w:highlight w:val="none"/>
          <w:lang w:val="en-US" w:eastAsia="zh-CN"/>
        </w:rPr>
        <w:t>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%，支出决算数大于年初预算数(凡是年中有追加预算的或决算数低于年初预算数95%的应作原因说明)的主要原因</w:t>
      </w:r>
      <w:r>
        <w:rPr>
          <w:rFonts w:hint="eastAsia" w:ascii="仿宋_GB2312" w:hAnsi="仿宋_GB2312" w:cs="仿宋_GB2312"/>
          <w:bCs/>
          <w:kern w:val="44"/>
          <w:sz w:val="32"/>
          <w:szCs w:val="32"/>
          <w:highlight w:val="none"/>
          <w:lang w:val="en-US" w:eastAsia="zh-CN"/>
        </w:rPr>
        <w:t>：年中追加工伤保险费</w:t>
      </w:r>
      <w:r>
        <w:rPr>
          <w:rFonts w:hint="eastAsia" w:ascii="仿宋_GB2312" w:hAnsi="仿宋_GB2312" w:eastAsia="仿宋_GB2312" w:cs="仿宋_GB2312"/>
          <w:bCs/>
          <w:kern w:val="44"/>
          <w:sz w:val="32"/>
          <w:szCs w:val="32"/>
          <w:highlight w:val="none"/>
          <w:lang w:val="en-US" w:eastAsia="zh-CN"/>
        </w:rPr>
        <w:t>。</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3.卫生健康支出具体包括：</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（1）卫生健康支出（类）行政事业单位医疗（款）事业单位医疗（项）年初预算为 </w:t>
      </w:r>
      <w:r>
        <w:rPr>
          <w:rFonts w:hint="eastAsia" w:ascii="仿宋_GB2312" w:hAnsi="仿宋_GB2312" w:cs="仿宋_GB2312"/>
          <w:bCs/>
          <w:kern w:val="44"/>
          <w:sz w:val="32"/>
          <w:szCs w:val="32"/>
          <w:highlight w:val="none"/>
          <w:lang w:val="en-US" w:eastAsia="zh-CN"/>
        </w:rPr>
        <w:t>2.53</w:t>
      </w:r>
      <w:r>
        <w:rPr>
          <w:rFonts w:hint="eastAsia" w:ascii="仿宋_GB2312" w:hAnsi="仿宋_GB2312" w:eastAsia="仿宋_GB2312" w:cs="仿宋_GB2312"/>
          <w:bCs/>
          <w:kern w:val="44"/>
          <w:sz w:val="32"/>
          <w:szCs w:val="32"/>
          <w:highlight w:val="none"/>
          <w:lang w:val="en-US" w:eastAsia="zh-CN"/>
        </w:rPr>
        <w:t>万元，支出决算为1.50万元，完成年初预算的</w:t>
      </w:r>
      <w:r>
        <w:rPr>
          <w:rFonts w:hint="eastAsia" w:ascii="仿宋_GB2312" w:hAnsi="仿宋_GB2312" w:cs="仿宋_GB2312"/>
          <w:bCs/>
          <w:kern w:val="44"/>
          <w:sz w:val="32"/>
          <w:szCs w:val="32"/>
          <w:highlight w:val="none"/>
          <w:lang w:val="en-US" w:eastAsia="zh-CN"/>
        </w:rPr>
        <w:t>59.28</w:t>
      </w:r>
      <w:r>
        <w:rPr>
          <w:rFonts w:hint="eastAsia" w:ascii="仿宋_GB2312" w:hAnsi="仿宋_GB2312" w:eastAsia="仿宋_GB2312" w:cs="仿宋_GB2312"/>
          <w:bCs/>
          <w:kern w:val="44"/>
          <w:sz w:val="32"/>
          <w:szCs w:val="32"/>
          <w:highlight w:val="none"/>
          <w:lang w:val="en-US" w:eastAsia="zh-CN"/>
        </w:rPr>
        <w:t>%，支出决算数小于年初预算数(凡是年中有追加预算的或决算数低于年初预算数95%的应作原因说明)的主要原因：</w:t>
      </w:r>
      <w:r>
        <w:rPr>
          <w:rFonts w:hint="eastAsia" w:ascii="仿宋_GB2312" w:hAnsi="仿宋_GB2312" w:cs="仿宋_GB2312"/>
          <w:bCs/>
          <w:kern w:val="44"/>
          <w:sz w:val="32"/>
          <w:szCs w:val="32"/>
          <w:highlight w:val="none"/>
          <w:lang w:val="en-US" w:eastAsia="zh-CN"/>
        </w:rPr>
        <w:t>基本医保原来是跨年度预算支出，从2024年7月起是按月拨付，故2024年医保只反映半年数据。</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4.城乡社区支出具体包括：</w:t>
      </w:r>
    </w:p>
    <w:p>
      <w:pPr>
        <w:bidi w:val="0"/>
        <w:ind w:firstLine="640" w:firstLineChars="200"/>
        <w:jc w:val="both"/>
        <w:rPr>
          <w:rFonts w:hint="eastAsia" w:ascii="仿宋_GB2312" w:hAnsi="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（1）城乡社区支出（类）城乡社区规划与管理（款）城乡社区规划与管理（项）年初预算为 </w:t>
      </w:r>
      <w:r>
        <w:rPr>
          <w:rFonts w:hint="eastAsia" w:ascii="仿宋_GB2312" w:hAnsi="仿宋_GB2312" w:cs="仿宋_GB2312"/>
          <w:bCs/>
          <w:kern w:val="44"/>
          <w:sz w:val="32"/>
          <w:szCs w:val="32"/>
          <w:highlight w:val="none"/>
          <w:lang w:val="en-US" w:eastAsia="zh-CN"/>
        </w:rPr>
        <w:t>18.2</w:t>
      </w:r>
      <w:r>
        <w:rPr>
          <w:rFonts w:hint="eastAsia" w:ascii="仿宋_GB2312" w:hAnsi="仿宋_GB2312" w:eastAsia="仿宋_GB2312" w:cs="仿宋_GB2312"/>
          <w:bCs/>
          <w:kern w:val="44"/>
          <w:sz w:val="32"/>
          <w:szCs w:val="32"/>
          <w:highlight w:val="none"/>
          <w:lang w:val="en-US" w:eastAsia="zh-CN"/>
        </w:rPr>
        <w:t>万元，支出决算为18.20万元，完成年初预算的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w:t>
      </w:r>
      <w:r>
        <w:rPr>
          <w:rFonts w:hint="eastAsia" w:ascii="仿宋_GB2312" w:hAnsi="仿宋_GB2312" w:cs="仿宋_GB2312"/>
          <w:bCs/>
          <w:kern w:val="44"/>
          <w:sz w:val="32"/>
          <w:szCs w:val="32"/>
          <w:highlight w:val="none"/>
          <w:lang w:val="en-US" w:eastAsia="zh-CN"/>
        </w:rPr>
        <w:t>按预算执行。</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5.农林水支出具体包括：</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（1）农林水支出（类）农业农村（款）农村社会事业（项）年初预算为 </w:t>
      </w:r>
      <w:r>
        <w:rPr>
          <w:rFonts w:hint="eastAsia" w:ascii="仿宋_GB2312" w:hAnsi="仿宋_GB2312" w:cs="仿宋_GB2312"/>
          <w:bCs/>
          <w:kern w:val="44"/>
          <w:sz w:val="32"/>
          <w:szCs w:val="32"/>
          <w:highlight w:val="none"/>
          <w:lang w:val="en-US" w:eastAsia="zh-CN"/>
        </w:rPr>
        <w:t>65.16</w:t>
      </w:r>
      <w:r>
        <w:rPr>
          <w:rFonts w:hint="eastAsia" w:ascii="仿宋_GB2312" w:hAnsi="仿宋_GB2312" w:eastAsia="仿宋_GB2312" w:cs="仿宋_GB2312"/>
          <w:bCs/>
          <w:kern w:val="44"/>
          <w:sz w:val="32"/>
          <w:szCs w:val="32"/>
          <w:highlight w:val="none"/>
          <w:lang w:val="en-US" w:eastAsia="zh-CN"/>
        </w:rPr>
        <w:t>万元，支出决算为74.65万元，完成年初预算的</w:t>
      </w:r>
      <w:r>
        <w:rPr>
          <w:rFonts w:hint="eastAsia" w:ascii="仿宋_GB2312" w:hAnsi="仿宋_GB2312" w:cs="仿宋_GB2312"/>
          <w:bCs/>
          <w:kern w:val="44"/>
          <w:sz w:val="32"/>
          <w:szCs w:val="32"/>
          <w:highlight w:val="none"/>
          <w:lang w:val="en-US" w:eastAsia="zh-CN"/>
        </w:rPr>
        <w:t>114.56</w:t>
      </w:r>
      <w:r>
        <w:rPr>
          <w:rFonts w:hint="eastAsia" w:ascii="仿宋_GB2312" w:hAnsi="仿宋_GB2312" w:eastAsia="仿宋_GB2312" w:cs="仿宋_GB2312"/>
          <w:bCs/>
          <w:kern w:val="44"/>
          <w:sz w:val="32"/>
          <w:szCs w:val="32"/>
          <w:highlight w:val="none"/>
          <w:lang w:val="en-US" w:eastAsia="zh-CN"/>
        </w:rPr>
        <w:t>%，支出决算数大于年初预算数(凡是年中有追加预算的或决算数低于年初预算数95%的应作原因说明)的主要原因：</w:t>
      </w:r>
      <w:r>
        <w:rPr>
          <w:rFonts w:hint="eastAsia" w:ascii="仿宋_GB2312" w:hAnsi="仿宋_GB2312" w:cs="仿宋_GB2312"/>
          <w:bCs/>
          <w:kern w:val="44"/>
          <w:sz w:val="32"/>
          <w:szCs w:val="32"/>
          <w:highlight w:val="none"/>
          <w:lang w:val="en-US" w:eastAsia="zh-CN"/>
        </w:rPr>
        <w:t>以钱养事单位社会保险基数提标</w:t>
      </w:r>
      <w:r>
        <w:rPr>
          <w:rFonts w:hint="eastAsia" w:ascii="仿宋_GB2312" w:hAnsi="仿宋_GB2312" w:eastAsia="仿宋_GB2312" w:cs="仿宋_GB2312"/>
          <w:bCs/>
          <w:kern w:val="44"/>
          <w:sz w:val="32"/>
          <w:szCs w:val="32"/>
          <w:highlight w:val="none"/>
          <w:lang w:val="en-US" w:eastAsia="zh-CN"/>
        </w:rPr>
        <w:t>。</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（2）农林水支出（类）农村综合改革（款）对村级公益事业建设的补助（项）年初预算为</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万元，支出决算为25.00万元，</w:t>
      </w:r>
      <w:r>
        <w:rPr>
          <w:rFonts w:hint="eastAsia" w:ascii="仿宋_GB2312" w:hAnsi="仿宋_GB2312" w:cs="仿宋_GB2312"/>
          <w:bCs/>
          <w:kern w:val="44"/>
          <w:sz w:val="32"/>
          <w:szCs w:val="32"/>
          <w:highlight w:val="none"/>
          <w:lang w:val="en-US" w:eastAsia="zh-CN"/>
        </w:rPr>
        <w:t>超</w:t>
      </w:r>
      <w:r>
        <w:rPr>
          <w:rFonts w:hint="eastAsia" w:ascii="仿宋_GB2312" w:hAnsi="仿宋_GB2312" w:eastAsia="仿宋_GB2312" w:cs="仿宋_GB2312"/>
          <w:bCs/>
          <w:kern w:val="44"/>
          <w:sz w:val="32"/>
          <w:szCs w:val="32"/>
          <w:highlight w:val="none"/>
          <w:lang w:val="en-US" w:eastAsia="zh-CN"/>
        </w:rPr>
        <w:t>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%，支出决算数大于年初预算数(凡是年中有追加预算的或决算数低于年初预算数95%的应作原因说明)的主要原因：</w:t>
      </w:r>
      <w:r>
        <w:rPr>
          <w:rFonts w:hint="eastAsia" w:ascii="仿宋_GB2312" w:hAnsi="仿宋_GB2312" w:cs="仿宋_GB2312"/>
          <w:bCs/>
          <w:kern w:val="44"/>
          <w:sz w:val="32"/>
          <w:szCs w:val="32"/>
          <w:highlight w:val="none"/>
          <w:lang w:val="en-US" w:eastAsia="zh-CN"/>
        </w:rPr>
        <w:t>年中追加横石村、南成村、横石潭村村级公益事业建设补助</w:t>
      </w:r>
      <w:r>
        <w:rPr>
          <w:rFonts w:hint="eastAsia" w:ascii="仿宋_GB2312" w:hAnsi="仿宋_GB2312" w:eastAsia="仿宋_GB2312" w:cs="仿宋_GB2312"/>
          <w:bCs/>
          <w:kern w:val="44"/>
          <w:sz w:val="32"/>
          <w:szCs w:val="32"/>
          <w:highlight w:val="none"/>
          <w:lang w:val="en-US" w:eastAsia="zh-CN"/>
        </w:rPr>
        <w:t>。</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（3）农林水支出（类）农村综合改革（款）对村民委员会和村党支部的补助（项）年初预算为 </w:t>
      </w:r>
      <w:r>
        <w:rPr>
          <w:rFonts w:hint="eastAsia" w:ascii="仿宋_GB2312" w:hAnsi="仿宋_GB2312" w:cs="仿宋_GB2312"/>
          <w:bCs/>
          <w:kern w:val="44"/>
          <w:sz w:val="32"/>
          <w:szCs w:val="32"/>
          <w:highlight w:val="none"/>
          <w:lang w:val="en-US" w:eastAsia="zh-CN"/>
        </w:rPr>
        <w:t>207.13</w:t>
      </w:r>
      <w:r>
        <w:rPr>
          <w:rFonts w:hint="eastAsia" w:ascii="仿宋_GB2312" w:hAnsi="仿宋_GB2312" w:eastAsia="仿宋_GB2312" w:cs="仿宋_GB2312"/>
          <w:bCs/>
          <w:kern w:val="44"/>
          <w:sz w:val="32"/>
          <w:szCs w:val="32"/>
          <w:highlight w:val="none"/>
          <w:lang w:val="en-US" w:eastAsia="zh-CN"/>
        </w:rPr>
        <w:t>万元，支出决算为208.60万元，完成年初预算的</w:t>
      </w:r>
      <w:r>
        <w:rPr>
          <w:rFonts w:hint="eastAsia" w:ascii="仿宋_GB2312" w:hAnsi="仿宋_GB2312" w:cs="仿宋_GB2312"/>
          <w:bCs/>
          <w:kern w:val="44"/>
          <w:sz w:val="32"/>
          <w:szCs w:val="32"/>
          <w:highlight w:val="none"/>
          <w:lang w:val="en-US" w:eastAsia="zh-CN"/>
        </w:rPr>
        <w:t>100.7</w:t>
      </w:r>
      <w:r>
        <w:rPr>
          <w:rFonts w:hint="eastAsia" w:ascii="仿宋_GB2312" w:hAnsi="仿宋_GB2312" w:eastAsia="仿宋_GB2312" w:cs="仿宋_GB2312"/>
          <w:bCs/>
          <w:kern w:val="44"/>
          <w:sz w:val="32"/>
          <w:szCs w:val="32"/>
          <w:highlight w:val="none"/>
          <w:lang w:val="en-US" w:eastAsia="zh-CN"/>
        </w:rPr>
        <w:t>%，支出决算数大于年初预算数(凡是年中有追加预算的或决算数低于年初预算数95%的应作原因说明)的主要原因：</w:t>
      </w:r>
      <w:r>
        <w:rPr>
          <w:rFonts w:hint="eastAsia" w:ascii="仿宋_GB2312" w:hAnsi="仿宋_GB2312" w:cs="仿宋_GB2312"/>
          <w:bCs/>
          <w:kern w:val="44"/>
          <w:sz w:val="32"/>
          <w:szCs w:val="32"/>
          <w:highlight w:val="none"/>
          <w:lang w:val="en-US" w:eastAsia="zh-CN"/>
        </w:rPr>
        <w:t>增加千人计划人员</w:t>
      </w:r>
      <w:r>
        <w:rPr>
          <w:rFonts w:hint="eastAsia" w:ascii="仿宋_GB2312" w:hAnsi="仿宋_GB2312" w:eastAsia="仿宋_GB2312" w:cs="仿宋_GB2312"/>
          <w:bCs/>
          <w:kern w:val="44"/>
          <w:sz w:val="32"/>
          <w:szCs w:val="32"/>
          <w:highlight w:val="none"/>
          <w:lang w:val="en-US" w:eastAsia="zh-CN"/>
        </w:rPr>
        <w:t>。</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6.住房保障支出具体包括：</w:t>
      </w:r>
    </w:p>
    <w:p>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（1）住房保障支出（类）住房改革支出（款）住房公积金（项）年初预算为 </w:t>
      </w:r>
      <w:r>
        <w:rPr>
          <w:rFonts w:hint="eastAsia" w:ascii="仿宋_GB2312" w:hAnsi="仿宋_GB2312" w:cs="仿宋_GB2312"/>
          <w:bCs/>
          <w:kern w:val="44"/>
          <w:sz w:val="32"/>
          <w:szCs w:val="32"/>
          <w:highlight w:val="none"/>
          <w:lang w:val="en-US" w:eastAsia="zh-CN"/>
        </w:rPr>
        <w:t>3.96</w:t>
      </w:r>
      <w:r>
        <w:rPr>
          <w:rFonts w:hint="eastAsia" w:ascii="仿宋_GB2312" w:hAnsi="仿宋_GB2312" w:eastAsia="仿宋_GB2312" w:cs="仿宋_GB2312"/>
          <w:bCs/>
          <w:kern w:val="44"/>
          <w:sz w:val="32"/>
          <w:szCs w:val="32"/>
          <w:highlight w:val="none"/>
          <w:lang w:val="en-US" w:eastAsia="zh-CN"/>
        </w:rPr>
        <w:t>万元，支出决算为5.34万元，完成年初预算的</w:t>
      </w:r>
      <w:r>
        <w:rPr>
          <w:rFonts w:hint="eastAsia" w:ascii="仿宋_GB2312" w:hAnsi="仿宋_GB2312" w:cs="仿宋_GB2312"/>
          <w:bCs/>
          <w:kern w:val="44"/>
          <w:sz w:val="32"/>
          <w:szCs w:val="32"/>
          <w:highlight w:val="none"/>
          <w:lang w:val="en-US" w:eastAsia="zh-CN"/>
        </w:rPr>
        <w:t>134.85</w:t>
      </w:r>
      <w:r>
        <w:rPr>
          <w:rFonts w:hint="eastAsia" w:ascii="仿宋_GB2312" w:hAnsi="仿宋_GB2312" w:eastAsia="仿宋_GB2312" w:cs="仿宋_GB2312"/>
          <w:bCs/>
          <w:kern w:val="44"/>
          <w:sz w:val="32"/>
          <w:szCs w:val="32"/>
          <w:highlight w:val="none"/>
          <w:lang w:val="en-US" w:eastAsia="zh-CN"/>
        </w:rPr>
        <w:t>%，支出决算数大于年初预算数(凡是年中有追加预算的或决算数低于年初预算数95%的应作原因说明)的主要原因：</w:t>
      </w:r>
      <w:r>
        <w:rPr>
          <w:rFonts w:hint="eastAsia" w:ascii="仿宋_GB2312" w:hAnsi="仿宋_GB2312" w:cs="仿宋_GB2312"/>
          <w:bCs/>
          <w:kern w:val="44"/>
          <w:sz w:val="32"/>
          <w:szCs w:val="32"/>
          <w:highlight w:val="none"/>
          <w:lang w:val="en-US" w:eastAsia="zh-CN"/>
        </w:rPr>
        <w:t>执行时比预算增加一人</w:t>
      </w:r>
      <w:r>
        <w:rPr>
          <w:rFonts w:hint="eastAsia" w:ascii="仿宋_GB2312" w:hAnsi="仿宋_GB2312" w:eastAsia="仿宋_GB2312" w:cs="仿宋_GB2312"/>
          <w:bCs/>
          <w:kern w:val="44"/>
          <w:sz w:val="32"/>
          <w:szCs w:val="32"/>
          <w:highlight w:val="none"/>
          <w:lang w:val="en-US" w:eastAsia="zh-CN"/>
        </w:rPr>
        <w:t>。</w:t>
      </w:r>
    </w:p>
    <w:p>
      <w:pPr>
        <w:bidi w:val="0"/>
        <w:ind w:firstLine="640" w:firstLineChars="200"/>
        <w:jc w:val="both"/>
        <w:rPr>
          <w:rFonts w:hint="eastAsia"/>
          <w:lang w:val="en-US" w:eastAsia="zh-CN"/>
        </w:rPr>
      </w:pPr>
      <w:r>
        <w:rPr>
          <w:rFonts w:hint="eastAsia" w:ascii="黑体" w:hAnsi="黑体" w:eastAsia="黑体" w:cs="黑体"/>
          <w:lang w:val="en-US" w:eastAsia="zh-CN"/>
        </w:rPr>
        <w:t>六、一般公共预算财政拨款基本支出决算情况说明</w:t>
      </w:r>
    </w:p>
    <w:p>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cs="仿宋_GB2312"/>
          <w:lang w:val="en-US" w:eastAsia="zh-CN"/>
        </w:rPr>
        <w:t>2024</w:t>
      </w:r>
      <w:r>
        <w:rPr>
          <w:rFonts w:hint="eastAsia" w:ascii="仿宋_GB2312" w:hAnsi="仿宋_GB2312" w:eastAsia="仿宋_GB2312" w:cs="仿宋_GB2312"/>
          <w:lang w:val="en-US" w:eastAsia="zh-CN"/>
        </w:rPr>
        <w:t>年度一般公共预算财政拨款基本支出</w:t>
      </w:r>
      <w:r>
        <w:rPr>
          <w:rFonts w:hint="eastAsia" w:ascii="仿宋_GB2312" w:hAnsi="仿宋_GB2312" w:eastAsia="仿宋_GB2312" w:cs="仿宋_GB2312"/>
          <w:u w:val="none"/>
          <w:lang w:val="en-US" w:eastAsia="zh-CN"/>
        </w:rPr>
        <w:t>399.37</w:t>
      </w:r>
      <w:r>
        <w:rPr>
          <w:rFonts w:hint="eastAsia" w:ascii="仿宋_GB2312" w:hAnsi="仿宋_GB2312" w:eastAsia="仿宋_GB2312" w:cs="仿宋_GB2312"/>
          <w:lang w:val="en-US" w:eastAsia="zh-CN"/>
        </w:rPr>
        <w:t>万元，其中：</w:t>
      </w:r>
    </w:p>
    <w:p>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人员经费</w:t>
      </w:r>
      <w:r>
        <w:rPr>
          <w:rFonts w:hint="eastAsia" w:ascii="仿宋_GB2312" w:hAnsi="仿宋_GB2312" w:eastAsia="仿宋_GB2312" w:cs="仿宋_GB2312"/>
          <w:u w:val="none"/>
          <w:lang w:val="en-US" w:eastAsia="zh-CN"/>
        </w:rPr>
        <w:t>83.03</w:t>
      </w:r>
      <w:r>
        <w:rPr>
          <w:rFonts w:hint="eastAsia" w:ascii="仿宋_GB2312" w:hAnsi="仿宋_GB2312" w:eastAsia="仿宋_GB2312" w:cs="仿宋_GB2312"/>
          <w:lang w:val="en-US" w:eastAsia="zh-CN"/>
        </w:rPr>
        <w:t>万元，主要包括：基本工资</w:t>
      </w:r>
      <w:r>
        <w:rPr>
          <w:rFonts w:hint="eastAsia" w:ascii="仿宋_GB2312" w:hAnsi="仿宋_GB2312" w:cs="仿宋_GB2312"/>
          <w:lang w:val="en-US" w:eastAsia="zh-CN"/>
        </w:rPr>
        <w:t>22.16万元</w:t>
      </w:r>
      <w:r>
        <w:rPr>
          <w:rFonts w:hint="eastAsia" w:ascii="仿宋_GB2312" w:hAnsi="仿宋_GB2312" w:eastAsia="仿宋_GB2312" w:cs="仿宋_GB2312"/>
          <w:lang w:val="en-US" w:eastAsia="zh-CN"/>
        </w:rPr>
        <w:t>、津贴补贴</w:t>
      </w:r>
      <w:r>
        <w:rPr>
          <w:rFonts w:hint="eastAsia" w:ascii="仿宋_GB2312" w:hAnsi="仿宋_GB2312" w:cs="仿宋_GB2312"/>
          <w:lang w:val="en-US" w:eastAsia="zh-CN"/>
        </w:rPr>
        <w:t>6.48万元</w:t>
      </w:r>
      <w:r>
        <w:rPr>
          <w:rFonts w:hint="eastAsia" w:ascii="仿宋_GB2312" w:hAnsi="仿宋_GB2312" w:eastAsia="仿宋_GB2312" w:cs="仿宋_GB2312"/>
          <w:lang w:val="en-US" w:eastAsia="zh-CN"/>
        </w:rPr>
        <w:t>、奖金</w:t>
      </w:r>
      <w:r>
        <w:rPr>
          <w:rFonts w:hint="eastAsia" w:ascii="仿宋_GB2312" w:hAnsi="仿宋_GB2312" w:cs="仿宋_GB2312"/>
          <w:lang w:val="en-US" w:eastAsia="zh-CN"/>
        </w:rPr>
        <w:t>10.03万元</w:t>
      </w:r>
      <w:r>
        <w:rPr>
          <w:rFonts w:hint="eastAsia" w:ascii="仿宋_GB2312" w:hAnsi="仿宋_GB2312" w:eastAsia="仿宋_GB2312" w:cs="仿宋_GB2312"/>
          <w:lang w:val="en-US" w:eastAsia="zh-CN"/>
        </w:rPr>
        <w:t>、伙食补助费、绩效工资</w:t>
      </w:r>
      <w:r>
        <w:rPr>
          <w:rFonts w:hint="eastAsia" w:ascii="仿宋_GB2312" w:hAnsi="仿宋_GB2312" w:cs="仿宋_GB2312"/>
          <w:lang w:val="en-US" w:eastAsia="zh-CN"/>
        </w:rPr>
        <w:t>9.53万元</w:t>
      </w:r>
      <w:r>
        <w:rPr>
          <w:rFonts w:hint="eastAsia" w:ascii="仿宋_GB2312" w:hAnsi="仿宋_GB2312" w:eastAsia="仿宋_GB2312" w:cs="仿宋_GB2312"/>
          <w:lang w:val="en-US" w:eastAsia="zh-CN"/>
        </w:rPr>
        <w:t>、机关事业单位基本养老保险缴费</w:t>
      </w:r>
      <w:r>
        <w:rPr>
          <w:rFonts w:hint="eastAsia" w:ascii="仿宋_GB2312" w:hAnsi="仿宋_GB2312" w:cs="仿宋_GB2312"/>
          <w:lang w:val="en-US" w:eastAsia="zh-CN"/>
        </w:rPr>
        <w:t>6.23万元</w:t>
      </w:r>
      <w:r>
        <w:rPr>
          <w:rFonts w:hint="eastAsia" w:ascii="仿宋_GB2312" w:hAnsi="仿宋_GB2312" w:eastAsia="仿宋_GB2312" w:cs="仿宋_GB2312"/>
          <w:lang w:val="en-US" w:eastAsia="zh-CN"/>
        </w:rPr>
        <w:t>、职业年金缴费</w:t>
      </w:r>
      <w:r>
        <w:rPr>
          <w:rFonts w:hint="eastAsia" w:ascii="仿宋_GB2312" w:hAnsi="仿宋_GB2312" w:cs="仿宋_GB2312"/>
          <w:lang w:val="en-US" w:eastAsia="zh-CN"/>
        </w:rPr>
        <w:t>7.61万元</w:t>
      </w:r>
      <w:r>
        <w:rPr>
          <w:rFonts w:hint="eastAsia" w:ascii="仿宋_GB2312" w:hAnsi="仿宋_GB2312" w:eastAsia="仿宋_GB2312" w:cs="仿宋_GB2312"/>
          <w:lang w:val="en-US" w:eastAsia="zh-CN"/>
        </w:rPr>
        <w:t>、职工基本医疗保险缴费</w:t>
      </w:r>
      <w:r>
        <w:rPr>
          <w:rFonts w:hint="eastAsia" w:ascii="仿宋_GB2312" w:hAnsi="仿宋_GB2312" w:cs="仿宋_GB2312"/>
          <w:lang w:val="en-US" w:eastAsia="zh-CN"/>
        </w:rPr>
        <w:t>1.5万元</w:t>
      </w:r>
      <w:r>
        <w:rPr>
          <w:rFonts w:hint="eastAsia" w:ascii="仿宋_GB2312" w:hAnsi="仿宋_GB2312" w:eastAsia="仿宋_GB2312" w:cs="仿宋_GB2312"/>
          <w:lang w:val="en-US" w:eastAsia="zh-CN"/>
        </w:rPr>
        <w:t>、公务员医疗补助缴费、其他社会保障缴费</w:t>
      </w:r>
      <w:r>
        <w:rPr>
          <w:rFonts w:hint="eastAsia" w:ascii="仿宋_GB2312" w:hAnsi="仿宋_GB2312" w:cs="仿宋_GB2312"/>
          <w:lang w:val="en-US" w:eastAsia="zh-CN"/>
        </w:rPr>
        <w:t>0.08万元</w:t>
      </w:r>
      <w:r>
        <w:rPr>
          <w:rFonts w:hint="eastAsia" w:ascii="仿宋_GB2312" w:hAnsi="仿宋_GB2312" w:eastAsia="仿宋_GB2312" w:cs="仿宋_GB2312"/>
          <w:lang w:val="en-US" w:eastAsia="zh-CN"/>
        </w:rPr>
        <w:t>、住房公积金</w:t>
      </w:r>
      <w:r>
        <w:rPr>
          <w:rFonts w:hint="eastAsia" w:ascii="仿宋_GB2312" w:hAnsi="仿宋_GB2312" w:cs="仿宋_GB2312"/>
          <w:lang w:val="en-US" w:eastAsia="zh-CN"/>
        </w:rPr>
        <w:t>5.34万元</w:t>
      </w:r>
      <w:r>
        <w:rPr>
          <w:rFonts w:hint="eastAsia" w:ascii="仿宋_GB2312" w:hAnsi="仿宋_GB2312" w:eastAsia="仿宋_GB2312" w:cs="仿宋_GB2312"/>
          <w:lang w:val="en-US" w:eastAsia="zh-CN"/>
        </w:rPr>
        <w:t>、医疗费、其他工资福利支出、离休费、退休费</w:t>
      </w:r>
      <w:r>
        <w:rPr>
          <w:rFonts w:hint="eastAsia" w:ascii="仿宋_GB2312" w:hAnsi="仿宋_GB2312" w:cs="仿宋_GB2312"/>
          <w:lang w:val="en-US" w:eastAsia="zh-CN"/>
        </w:rPr>
        <w:t>12.06万元</w:t>
      </w:r>
      <w:r>
        <w:rPr>
          <w:rFonts w:hint="eastAsia" w:ascii="仿宋_GB2312" w:hAnsi="仿宋_GB2312" w:eastAsia="仿宋_GB2312" w:cs="仿宋_GB2312"/>
          <w:lang w:val="en-US" w:eastAsia="zh-CN"/>
        </w:rPr>
        <w:t>、退职(役)费、抚恤金、生活补助</w:t>
      </w:r>
      <w:r>
        <w:rPr>
          <w:rFonts w:hint="eastAsia" w:ascii="仿宋_GB2312" w:hAnsi="仿宋_GB2312" w:cs="仿宋_GB2312"/>
          <w:lang w:val="en-US" w:eastAsia="zh-CN"/>
        </w:rPr>
        <w:t>2万元</w:t>
      </w:r>
      <w:r>
        <w:rPr>
          <w:rFonts w:hint="eastAsia" w:ascii="仿宋_GB2312" w:hAnsi="仿宋_GB2312" w:eastAsia="仿宋_GB2312" w:cs="仿宋_GB2312"/>
          <w:lang w:val="en-US" w:eastAsia="zh-CN"/>
        </w:rPr>
        <w:t>、救济费、医疗费补助、助学金、奖励金、个人农业生产补贴、代缴社会保险费、其他对个人和家庭的补助。</w:t>
      </w:r>
    </w:p>
    <w:p>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公用经费</w:t>
      </w:r>
      <w:r>
        <w:rPr>
          <w:rFonts w:hint="eastAsia" w:ascii="仿宋_GB2312" w:hAnsi="仿宋_GB2312" w:eastAsia="仿宋_GB2312" w:cs="仿宋_GB2312"/>
          <w:u w:val="none"/>
          <w:lang w:val="en-US" w:eastAsia="zh-CN"/>
        </w:rPr>
        <w:t>316.34</w:t>
      </w:r>
      <w:r>
        <w:rPr>
          <w:rFonts w:hint="eastAsia" w:ascii="仿宋_GB2312" w:hAnsi="仿宋_GB2312" w:eastAsia="仿宋_GB2312" w:cs="仿宋_GB2312"/>
          <w:lang w:val="en-US" w:eastAsia="zh-CN"/>
        </w:rPr>
        <w:t>万元，主要包括：办公费</w:t>
      </w:r>
      <w:r>
        <w:rPr>
          <w:rFonts w:hint="eastAsia" w:ascii="仿宋_GB2312" w:hAnsi="仿宋_GB2312" w:cs="仿宋_GB2312"/>
          <w:lang w:val="en-US" w:eastAsia="zh-CN"/>
        </w:rPr>
        <w:t>24.89万元</w:t>
      </w:r>
      <w:r>
        <w:rPr>
          <w:rFonts w:hint="eastAsia" w:ascii="仿宋_GB2312" w:hAnsi="仿宋_GB2312" w:eastAsia="仿宋_GB2312" w:cs="仿宋_GB2312"/>
          <w:lang w:val="en-US" w:eastAsia="zh-CN"/>
        </w:rPr>
        <w:t>、印刷费</w:t>
      </w:r>
      <w:r>
        <w:rPr>
          <w:rFonts w:hint="eastAsia" w:ascii="仿宋_GB2312" w:hAnsi="仿宋_GB2312" w:cs="仿宋_GB2312"/>
          <w:lang w:val="en-US" w:eastAsia="zh-CN"/>
        </w:rPr>
        <w:t>0.09万元</w:t>
      </w:r>
      <w:r>
        <w:rPr>
          <w:rFonts w:hint="eastAsia" w:ascii="仿宋_GB2312" w:hAnsi="仿宋_GB2312" w:eastAsia="仿宋_GB2312" w:cs="仿宋_GB2312"/>
          <w:lang w:val="en-US" w:eastAsia="zh-CN"/>
        </w:rPr>
        <w:t>、咨询费、手续费、水费</w:t>
      </w:r>
      <w:r>
        <w:rPr>
          <w:rFonts w:hint="eastAsia" w:ascii="仿宋_GB2312" w:hAnsi="仿宋_GB2312" w:cs="仿宋_GB2312"/>
          <w:lang w:val="en-US" w:eastAsia="zh-CN"/>
        </w:rPr>
        <w:t>0.14万元</w:t>
      </w:r>
      <w:r>
        <w:rPr>
          <w:rFonts w:hint="eastAsia" w:ascii="仿宋_GB2312" w:hAnsi="仿宋_GB2312" w:eastAsia="仿宋_GB2312" w:cs="仿宋_GB2312"/>
          <w:lang w:val="en-US" w:eastAsia="zh-CN"/>
        </w:rPr>
        <w:t>、电费</w:t>
      </w:r>
      <w:r>
        <w:rPr>
          <w:rFonts w:hint="eastAsia" w:ascii="仿宋_GB2312" w:hAnsi="仿宋_GB2312" w:cs="仿宋_GB2312"/>
          <w:lang w:val="en-US" w:eastAsia="zh-CN"/>
        </w:rPr>
        <w:t>0.95万元</w:t>
      </w:r>
      <w:r>
        <w:rPr>
          <w:rFonts w:hint="eastAsia" w:ascii="仿宋_GB2312" w:hAnsi="仿宋_GB2312" w:eastAsia="仿宋_GB2312" w:cs="仿宋_GB2312"/>
          <w:lang w:val="en-US" w:eastAsia="zh-CN"/>
        </w:rPr>
        <w:t>、邮电费</w:t>
      </w:r>
      <w:r>
        <w:rPr>
          <w:rFonts w:hint="eastAsia" w:ascii="仿宋_GB2312" w:hAnsi="仿宋_GB2312" w:cs="仿宋_GB2312"/>
          <w:lang w:val="en-US" w:eastAsia="zh-CN"/>
        </w:rPr>
        <w:t>0.62万元</w:t>
      </w:r>
      <w:r>
        <w:rPr>
          <w:rFonts w:hint="eastAsia" w:ascii="仿宋_GB2312" w:hAnsi="仿宋_GB2312" w:eastAsia="仿宋_GB2312" w:cs="仿宋_GB2312"/>
          <w:lang w:val="en-US" w:eastAsia="zh-CN"/>
        </w:rPr>
        <w:t>、取暖费、物业管理费、差旅费</w:t>
      </w:r>
      <w:r>
        <w:rPr>
          <w:rFonts w:hint="eastAsia" w:ascii="仿宋_GB2312" w:hAnsi="仿宋_GB2312" w:cs="仿宋_GB2312"/>
          <w:lang w:val="en-US" w:eastAsia="zh-CN"/>
        </w:rPr>
        <w:t>0.16万元</w:t>
      </w:r>
      <w:r>
        <w:rPr>
          <w:rFonts w:hint="eastAsia" w:ascii="仿宋_GB2312" w:hAnsi="仿宋_GB2312" w:eastAsia="仿宋_GB2312" w:cs="仿宋_GB2312"/>
          <w:lang w:val="en-US" w:eastAsia="zh-CN"/>
        </w:rPr>
        <w:t>、因公出国(境)费用、维修(护)费</w:t>
      </w:r>
      <w:r>
        <w:rPr>
          <w:rFonts w:hint="eastAsia" w:ascii="仿宋_GB2312" w:hAnsi="仿宋_GB2312" w:cs="仿宋_GB2312"/>
          <w:lang w:val="en-US" w:eastAsia="zh-CN"/>
        </w:rPr>
        <w:t>11.67万元</w:t>
      </w:r>
      <w:r>
        <w:rPr>
          <w:rFonts w:hint="eastAsia" w:ascii="仿宋_GB2312" w:hAnsi="仿宋_GB2312" w:eastAsia="仿宋_GB2312" w:cs="仿宋_GB2312"/>
          <w:lang w:val="en-US" w:eastAsia="zh-CN"/>
        </w:rPr>
        <w:t>、租赁费、会议费、培训费</w:t>
      </w:r>
      <w:r>
        <w:rPr>
          <w:rFonts w:hint="eastAsia" w:ascii="仿宋_GB2312" w:hAnsi="仿宋_GB2312" w:cs="仿宋_GB2312"/>
          <w:lang w:val="en-US" w:eastAsia="zh-CN"/>
        </w:rPr>
        <w:t>0.09万元</w:t>
      </w:r>
      <w:r>
        <w:rPr>
          <w:rFonts w:hint="eastAsia" w:ascii="仿宋_GB2312" w:hAnsi="仿宋_GB2312" w:eastAsia="仿宋_GB2312" w:cs="仿宋_GB2312"/>
          <w:lang w:val="en-US" w:eastAsia="zh-CN"/>
        </w:rPr>
        <w:t>、公务接待费</w:t>
      </w:r>
      <w:r>
        <w:rPr>
          <w:rFonts w:hint="eastAsia" w:ascii="仿宋_GB2312" w:hAnsi="仿宋_GB2312" w:cs="仿宋_GB2312"/>
          <w:lang w:val="en-US" w:eastAsia="zh-CN"/>
        </w:rPr>
        <w:t>2.14万元</w:t>
      </w:r>
      <w:r>
        <w:rPr>
          <w:rFonts w:hint="eastAsia" w:ascii="仿宋_GB2312" w:hAnsi="仿宋_GB2312" w:eastAsia="仿宋_GB2312" w:cs="仿宋_GB2312"/>
          <w:lang w:val="en-US" w:eastAsia="zh-CN"/>
        </w:rPr>
        <w:t>、专用材料费、被装购置费、专用燃料费、劳务费</w:t>
      </w:r>
      <w:r>
        <w:rPr>
          <w:rFonts w:hint="eastAsia" w:ascii="仿宋_GB2312" w:hAnsi="仿宋_GB2312" w:cs="仿宋_GB2312"/>
          <w:lang w:val="en-US" w:eastAsia="zh-CN"/>
        </w:rPr>
        <w:t>270.85万元</w:t>
      </w:r>
      <w:r>
        <w:rPr>
          <w:rFonts w:hint="eastAsia" w:ascii="仿宋_GB2312" w:hAnsi="仿宋_GB2312" w:eastAsia="仿宋_GB2312" w:cs="仿宋_GB2312"/>
          <w:lang w:val="en-US" w:eastAsia="zh-CN"/>
        </w:rPr>
        <w:t>、委托业务费、工会经费</w:t>
      </w:r>
      <w:r>
        <w:rPr>
          <w:rFonts w:hint="eastAsia" w:ascii="仿宋_GB2312" w:hAnsi="仿宋_GB2312" w:cs="仿宋_GB2312"/>
          <w:lang w:val="en-US" w:eastAsia="zh-CN"/>
        </w:rPr>
        <w:t>1.35万元</w:t>
      </w:r>
      <w:r>
        <w:rPr>
          <w:rFonts w:hint="eastAsia" w:ascii="仿宋_GB2312" w:hAnsi="仿宋_GB2312" w:eastAsia="仿宋_GB2312" w:cs="仿宋_GB2312"/>
          <w:lang w:val="en-US" w:eastAsia="zh-CN"/>
        </w:rPr>
        <w:t>、福利费</w:t>
      </w:r>
      <w:r>
        <w:rPr>
          <w:rFonts w:hint="eastAsia" w:ascii="仿宋_GB2312" w:hAnsi="仿宋_GB2312" w:cs="仿宋_GB2312"/>
          <w:lang w:val="en-US" w:eastAsia="zh-CN"/>
        </w:rPr>
        <w:t>1.7万元</w:t>
      </w:r>
      <w:r>
        <w:rPr>
          <w:rFonts w:hint="eastAsia" w:ascii="仿宋_GB2312" w:hAnsi="仿宋_GB2312" w:eastAsia="仿宋_GB2312" w:cs="仿宋_GB2312"/>
          <w:lang w:val="en-US" w:eastAsia="zh-CN"/>
        </w:rPr>
        <w:t>、公务用车运行维护费、其他交通费用、税金及附加费用、其他商品和服务支出</w:t>
      </w:r>
      <w:r>
        <w:rPr>
          <w:rFonts w:hint="eastAsia" w:ascii="仿宋_GB2312" w:hAnsi="仿宋_GB2312" w:cs="仿宋_GB2312"/>
          <w:lang w:val="en-US" w:eastAsia="zh-CN"/>
        </w:rPr>
        <w:t>1.68万元</w:t>
      </w:r>
      <w:r>
        <w:rPr>
          <w:rFonts w:hint="eastAsia" w:ascii="仿宋_GB2312" w:hAnsi="仿宋_GB2312" w:eastAsia="仿宋_GB2312" w:cs="仿宋_GB2312"/>
          <w:lang w:val="en-US" w:eastAsia="zh-CN"/>
        </w:rPr>
        <w:t>、办公设备购置、专用设备购置、信息网络及软件购置更新、公务用车购置、其他资本性支出。</w:t>
      </w:r>
    </w:p>
    <w:p>
      <w:pPr>
        <w:bidi w:val="0"/>
        <w:ind w:firstLine="643" w:firstLineChars="200"/>
        <w:jc w:val="both"/>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(只说明本部门使用科目)</w:t>
      </w:r>
    </w:p>
    <w:p>
      <w:pPr>
        <w:numPr>
          <w:ilvl w:val="0"/>
          <w:numId w:val="0"/>
        </w:numPr>
        <w:bidi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lang w:val="en-US" w:eastAsia="zh-CN"/>
        </w:rPr>
        <w:t xml:space="preserve">七、政府性基金预算财政拨款收入支出决算情况说明 </w:t>
      </w:r>
    </w:p>
    <w:p>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本部门2024年度无政府性基金预算财政拨款支出。 </w:t>
      </w:r>
    </w:p>
    <w:p>
      <w:pPr>
        <w:ind w:firstLine="64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(政府性基金预算财政拨款支出决算具体情况，按支出功能分类类级科目逐类分析，简述本部门使用科目)</w:t>
      </w:r>
    </w:p>
    <w:p>
      <w:pPr>
        <w:ind w:firstLine="640"/>
        <w:jc w:val="both"/>
        <w:rPr>
          <w:rFonts w:hint="default"/>
          <w:b/>
          <w:bCs/>
          <w:lang w:val="en-US" w:eastAsia="zh-CN"/>
        </w:rPr>
      </w:pPr>
      <w:r>
        <w:rPr>
          <w:rFonts w:hint="eastAsia" w:ascii="仿宋_GB2312" w:hAnsi="仿宋_GB2312" w:eastAsia="仿宋_GB2312" w:cs="仿宋_GB2312"/>
          <w:b/>
          <w:bCs/>
          <w:sz w:val="32"/>
          <w:szCs w:val="32"/>
          <w:lang w:val="en-US" w:eastAsia="zh-CN"/>
        </w:rPr>
        <w:t>(如果本部门没有政府性基金预算财政拨款收入，也没有使用政府性基金预算财政拨款安排的支出，则写本单位当年无政府性基金预算财政拨款收入支出，同时在公开空白的“</w:t>
      </w:r>
      <w:r>
        <w:rPr>
          <w:rFonts w:hint="eastAsia" w:ascii="仿宋_GB2312" w:hAnsi="仿宋_GB2312" w:cs="仿宋_GB2312"/>
          <w:b/>
          <w:bCs/>
          <w:sz w:val="32"/>
          <w:szCs w:val="32"/>
          <w:lang w:val="en-US" w:eastAsia="zh-CN"/>
        </w:rPr>
        <w:t>2024年</w:t>
      </w:r>
      <w:r>
        <w:rPr>
          <w:rFonts w:hint="eastAsia" w:ascii="仿宋_GB2312" w:hAnsi="仿宋_GB2312" w:eastAsia="仿宋_GB2312" w:cs="仿宋_GB2312"/>
          <w:b/>
          <w:bCs/>
          <w:sz w:val="32"/>
          <w:szCs w:val="32"/>
          <w:lang w:val="en-US" w:eastAsia="zh-CN"/>
        </w:rPr>
        <w:t>度政府性基金预算财政拨款收入支出决算表(表</w:t>
      </w:r>
      <w:r>
        <w:rPr>
          <w:rFonts w:hint="eastAsia" w:ascii="仿宋_GB2312" w:hAnsi="仿宋_GB2312" w:cs="仿宋_GB2312"/>
          <w:b/>
          <w:bCs/>
          <w:sz w:val="32"/>
          <w:szCs w:val="32"/>
          <w:lang w:val="en-US" w:eastAsia="zh-CN"/>
        </w:rPr>
        <w:t>7</w:t>
      </w:r>
      <w:r>
        <w:rPr>
          <w:rFonts w:hint="eastAsia" w:ascii="仿宋_GB2312" w:hAnsi="仿宋_GB2312" w:eastAsia="仿宋_GB2312" w:cs="仿宋_GB2312"/>
          <w:b/>
          <w:bCs/>
          <w:sz w:val="32"/>
          <w:szCs w:val="32"/>
          <w:lang w:val="en-US" w:eastAsia="zh-CN"/>
        </w:rPr>
        <w:t>)”下作说明)。</w:t>
      </w:r>
    </w:p>
    <w:p>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八、国有资本经营预算财政拨款支出决算情况说明</w:t>
      </w:r>
    </w:p>
    <w:p>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本单位2024年度无国有资本经营预算财政拨款支出。</w:t>
      </w:r>
    </w:p>
    <w:p>
      <w:pPr>
        <w:ind w:firstLine="640"/>
        <w:jc w:val="both"/>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(国有资本经营预算财政拨款支出决算具体情况，按支出功能分类类级科目逐类分析)</w:t>
      </w:r>
    </w:p>
    <w:p>
      <w:pPr>
        <w:ind w:firstLine="640"/>
        <w:jc w:val="both"/>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(如果本部门没有使用国有资本经营预算财政拨款安排的支出，则写本单位当年无国有资本经营预算财政拨款支出，同时在公开空白的“2024年度国有资本经营预算财政拨款支出决算表(表8)”下作说明)</w:t>
      </w:r>
    </w:p>
    <w:p>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 xml:space="preserve">九、财政拨款“三公”经费支出决算情况说明 </w:t>
      </w:r>
    </w:p>
    <w:p>
      <w:pPr>
        <w:numPr>
          <w:ilvl w:val="0"/>
          <w:numId w:val="0"/>
        </w:numPr>
        <w:bidi w:val="0"/>
        <w:ind w:left="640" w:leftChars="200" w:firstLine="0" w:firstLineChars="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（一）“三公”经费财政拨款支出决算总体情况说明</w:t>
      </w:r>
    </w:p>
    <w:p>
      <w:pPr>
        <w:ind w:firstLine="640" w:firstLineChars="200"/>
        <w:jc w:val="both"/>
        <w:rPr>
          <w:rFonts w:hint="eastAsia" w:ascii="仿宋_GB2312" w:eastAsia="仿宋_GB2312"/>
          <w:color w:val="000000"/>
          <w:szCs w:val="32"/>
          <w:highlight w:val="none"/>
          <w:lang w:val="en-US" w:eastAsia="zh-CN"/>
        </w:rPr>
      </w:pPr>
      <w:r>
        <w:rPr>
          <w:rFonts w:hint="eastAsia" w:ascii="仿宋_GB2312" w:eastAsia="仿宋_GB2312"/>
          <w:color w:val="000000"/>
          <w:szCs w:val="32"/>
          <w:highlight w:val="none"/>
          <w:lang w:val="en-US" w:eastAsia="zh-CN"/>
        </w:rPr>
        <w:t>2024年度“三公”经费财政拨款支出全年预算为2.14万元，支出决算为2.14万元，完成全年预算的100.0%。较上年减少1.20万元，下降35.9%,决算数持平全年预算数的主要原因：</w:t>
      </w:r>
      <w:r>
        <w:rPr>
          <w:rFonts w:hint="eastAsia" w:ascii="仿宋_GB2312" w:hAnsi="仿宋_GB2312" w:eastAsia="仿宋_GB2312" w:cs="仿宋_GB2312"/>
          <w:lang w:val="en-US" w:eastAsia="zh-CN"/>
        </w:rPr>
        <w:t>从严控制“三公”经费开支</w:t>
      </w:r>
      <w:r>
        <w:rPr>
          <w:rFonts w:hint="eastAsia" w:ascii="仿宋_GB2312" w:hAnsi="仿宋_GB2312" w:cs="仿宋_GB2312"/>
          <w:lang w:val="en-US" w:eastAsia="zh-CN"/>
        </w:rPr>
        <w:t>，坚决按预算执行不突破</w:t>
      </w:r>
      <w:r>
        <w:rPr>
          <w:rFonts w:hint="eastAsia" w:ascii="仿宋_GB2312" w:eastAsia="仿宋_GB2312"/>
          <w:color w:val="000000"/>
          <w:szCs w:val="32"/>
          <w:highlight w:val="none"/>
          <w:lang w:val="en-US" w:eastAsia="zh-CN"/>
        </w:rPr>
        <w:t>。决算数较上年减少的主要原因：</w:t>
      </w:r>
      <w:r>
        <w:rPr>
          <w:rFonts w:hint="eastAsia" w:ascii="仿宋_GB2312" w:hAnsi="仿宋_GB2312" w:eastAsia="仿宋_GB2312" w:cs="仿宋_GB2312"/>
          <w:lang w:val="en-US" w:eastAsia="zh-CN"/>
        </w:rPr>
        <w:t>认真贯彻落实“八项规定”精神和厉行节约要求，进一步从严控制“三公”经费开支</w:t>
      </w:r>
      <w:r>
        <w:rPr>
          <w:rFonts w:hint="eastAsia" w:ascii="仿宋_GB2312" w:eastAsia="仿宋_GB2312"/>
          <w:color w:val="000000"/>
          <w:szCs w:val="32"/>
          <w:highlight w:val="none"/>
          <w:lang w:val="en-US" w:eastAsia="zh-CN"/>
        </w:rPr>
        <w:t>。</w:t>
      </w:r>
    </w:p>
    <w:p>
      <w:pPr>
        <w:numPr>
          <w:ilvl w:val="0"/>
          <w:numId w:val="0"/>
        </w:numPr>
        <w:bidi w:val="0"/>
        <w:ind w:left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（二）“三公”经费财政拨款支出决算具体情况说明。</w:t>
      </w:r>
    </w:p>
    <w:p>
      <w:pPr>
        <w:ind w:firstLine="640" w:firstLineChars="200"/>
        <w:jc w:val="both"/>
        <w:rPr>
          <w:rFonts w:hint="eastAsia"/>
          <w:lang w:val="en-US" w:eastAsia="zh-CN"/>
        </w:rPr>
      </w:pPr>
      <w:r>
        <w:rPr>
          <w:rFonts w:hint="eastAsia" w:ascii="仿宋_GB2312" w:eastAsia="仿宋_GB2312"/>
          <w:color w:val="000000"/>
          <w:szCs w:val="32"/>
          <w:highlight w:val="none"/>
          <w:lang w:val="en-US" w:eastAsia="zh-CN"/>
        </w:rPr>
        <w:t>1.因公出国(境)费</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预算为</w:t>
      </w:r>
      <w:r>
        <w:rPr>
          <w:rFonts w:hint="eastAsia" w:ascii="仿宋_GB2312" w:eastAsia="仿宋_GB2312"/>
          <w:color w:val="000000"/>
          <w:szCs w:val="32"/>
          <w:highlight w:val="none"/>
          <w:u w:val="none"/>
          <w:lang w:val="en-US" w:eastAsia="zh-CN"/>
        </w:rPr>
        <w:t>0.00万元，</w:t>
      </w:r>
      <w:r>
        <w:rPr>
          <w:rFonts w:hint="eastAsia" w:ascii="仿宋_GB2312" w:eastAsia="仿宋_GB2312"/>
          <w:color w:val="000000"/>
          <w:szCs w:val="32"/>
          <w:highlight w:val="none"/>
          <w:lang w:val="en-US" w:eastAsia="zh-CN"/>
        </w:rPr>
        <w:t>支出决算为</w:t>
      </w:r>
      <w:r>
        <w:rPr>
          <w:rFonts w:hint="eastAsia" w:ascii="仿宋_GB2312" w:eastAsia="仿宋_GB2312"/>
          <w:color w:val="000000"/>
          <w:szCs w:val="32"/>
          <w:highlight w:val="none"/>
          <w:u w:val="none"/>
          <w:lang w:val="en-US" w:eastAsia="zh-CN"/>
        </w:rPr>
        <w:t>0.00</w:t>
      </w:r>
      <w:r>
        <w:rPr>
          <w:rFonts w:hint="eastAsia" w:ascii="仿宋_GB2312" w:eastAsia="仿宋_GB2312"/>
          <w:color w:val="000000"/>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预算的</w:t>
      </w:r>
      <w:r>
        <w:rPr>
          <w:rFonts w:hint="eastAsia" w:ascii="仿宋_GB2312" w:eastAsia="仿宋_GB2312"/>
          <w:color w:val="000000"/>
          <w:szCs w:val="32"/>
          <w:highlight w:val="none"/>
          <w:u w:val="none"/>
          <w:lang w:val="en-US" w:eastAsia="zh-CN"/>
        </w:rPr>
        <w:t>0.00</w:t>
      </w:r>
      <w:r>
        <w:rPr>
          <w:rFonts w:hint="eastAsia" w:ascii="仿宋_GB2312" w:eastAsia="仿宋_GB2312"/>
          <w:color w:val="000000"/>
          <w:szCs w:val="32"/>
          <w:highlight w:val="none"/>
          <w:lang w:val="en-US" w:eastAsia="zh-CN"/>
        </w:rPr>
        <w:t>%</w:t>
      </w:r>
      <w:r>
        <w:rPr>
          <w:rFonts w:hint="eastAsia" w:ascii="仿宋_GB2312"/>
          <w:color w:val="000000"/>
          <w:szCs w:val="32"/>
          <w:highlight w:val="none"/>
          <w:lang w:val="en-US" w:eastAsia="zh-CN"/>
        </w:rPr>
        <w:t>。</w:t>
      </w:r>
      <w:r>
        <w:rPr>
          <w:rFonts w:hint="eastAsia" w:ascii="仿宋_GB2312" w:hAnsi="仿宋_GB2312" w:cs="仿宋_GB2312"/>
          <w:lang w:val="en-US" w:eastAsia="zh-CN"/>
        </w:rPr>
        <w:t>较上年</w:t>
      </w:r>
      <w:r>
        <w:rPr>
          <w:rFonts w:hint="eastAsia" w:ascii="仿宋_GB2312" w:hAnsi="宋体"/>
          <w:szCs w:val="32"/>
          <w:lang w:val="en-US" w:eastAsia="zh-CN"/>
        </w:rPr>
        <w:t>持平</w:t>
      </w:r>
      <w:r>
        <w:rPr>
          <w:rFonts w:hint="eastAsia"/>
          <w:lang w:val="en-US" w:eastAsia="zh-CN"/>
        </w:rPr>
        <w:t>。</w:t>
      </w:r>
    </w:p>
    <w:p>
      <w:pPr>
        <w:ind w:firstLine="640" w:firstLineChars="200"/>
        <w:jc w:val="both"/>
        <w:rPr>
          <w:rFonts w:hint="default" w:ascii="仿宋_GB2312" w:eastAsia="仿宋_GB2312"/>
          <w:color w:val="000000"/>
          <w:szCs w:val="32"/>
          <w:highlight w:val="none"/>
          <w:u w:val="none"/>
          <w:lang w:val="en-US" w:eastAsia="zh-CN"/>
        </w:rPr>
      </w:pPr>
      <w:r>
        <w:rPr>
          <w:rFonts w:hint="eastAsia"/>
          <w:lang w:val="en-US" w:eastAsia="zh-CN"/>
        </w:rPr>
        <w:t>全年支出涉及出国（境）团组</w:t>
      </w:r>
      <w:r>
        <w:rPr>
          <w:rFonts w:hint="eastAsia" w:ascii="仿宋_GB2312" w:cs="仿宋_GB2312"/>
          <w:szCs w:val="32"/>
          <w:lang w:val="en-US" w:eastAsia="zh-CN" w:bidi="ar"/>
        </w:rPr>
        <w:t>0</w:t>
      </w:r>
      <w:r>
        <w:rPr>
          <w:rFonts w:hint="eastAsia"/>
          <w:lang w:val="en-US" w:eastAsia="zh-CN"/>
        </w:rPr>
        <w:t>个，累计</w:t>
      </w:r>
      <w:r>
        <w:rPr>
          <w:rFonts w:hint="eastAsia" w:ascii="仿宋_GB2312" w:cs="仿宋_GB2312"/>
          <w:szCs w:val="32"/>
          <w:lang w:val="en-US" w:eastAsia="zh-CN" w:bidi="ar"/>
        </w:rPr>
        <w:t>0</w:t>
      </w:r>
      <w:r>
        <w:rPr>
          <w:rFonts w:hint="eastAsia" w:ascii="仿宋_GB2312" w:eastAsia="仿宋_GB2312"/>
          <w:color w:val="000000"/>
          <w:szCs w:val="32"/>
          <w:highlight w:val="none"/>
          <w:u w:val="none"/>
          <w:lang w:val="en-US" w:eastAsia="zh-CN"/>
        </w:rPr>
        <w:t>人次。</w:t>
      </w:r>
    </w:p>
    <w:p>
      <w:pPr>
        <w:numPr>
          <w:ilvl w:val="0"/>
          <w:numId w:val="0"/>
        </w:numPr>
        <w:bidi w:val="0"/>
        <w:ind w:firstLine="640" w:firstLineChars="200"/>
        <w:jc w:val="both"/>
        <w:rPr>
          <w:rFonts w:hint="eastAsia" w:ascii="仿宋_GB2312" w:eastAsia="仿宋_GB2312"/>
          <w:color w:val="000000"/>
          <w:sz w:val="32"/>
          <w:szCs w:val="32"/>
          <w:highlight w:val="yellow"/>
          <w:lang w:val="en-US" w:eastAsia="zh-CN"/>
        </w:rPr>
      </w:pPr>
      <w:r>
        <w:rPr>
          <w:rFonts w:hint="eastAsia" w:ascii="仿宋_GB2312" w:eastAsia="仿宋_GB2312"/>
          <w:color w:val="000000"/>
          <w:sz w:val="32"/>
          <w:szCs w:val="32"/>
          <w:highlight w:val="none"/>
          <w:lang w:val="en-US" w:eastAsia="zh-CN"/>
        </w:rPr>
        <w:t>2.公务用车购置及运行费</w:t>
      </w:r>
      <w:r>
        <w:rPr>
          <w:rFonts w:hint="eastAsia" w:ascii="仿宋_GB2312" w:hAnsi="仿宋_GB2312" w:cs="仿宋_GB2312"/>
          <w:lang w:val="en-US" w:eastAsia="zh-CN"/>
        </w:rPr>
        <w:t>全年</w:t>
      </w:r>
      <w:r>
        <w:rPr>
          <w:rFonts w:hint="eastAsia" w:ascii="仿宋_GB2312"/>
          <w:color w:val="000000"/>
          <w:sz w:val="32"/>
          <w:szCs w:val="32"/>
          <w:highlight w:val="none"/>
          <w:lang w:val="en-US" w:eastAsia="zh-CN"/>
        </w:rPr>
        <w:t>预算为</w:t>
      </w:r>
      <w:r>
        <w:rPr>
          <w:rFonts w:hint="eastAsia" w:ascii="仿宋_GB2312" w:cs="仿宋_GB2312"/>
          <w:szCs w:val="32"/>
          <w:lang w:val="en-US" w:eastAsia="zh-CN" w:bidi="ar"/>
        </w:rPr>
        <w:t>0.00</w:t>
      </w:r>
      <w:r>
        <w:rPr>
          <w:rFonts w:hint="eastAsia" w:ascii="仿宋_GB2312"/>
          <w:color w:val="000000"/>
          <w:sz w:val="32"/>
          <w:szCs w:val="32"/>
          <w:highlight w:val="none"/>
          <w:u w:val="none"/>
          <w:lang w:val="en-US" w:eastAsia="zh-CN"/>
        </w:rPr>
        <w:t>万元，</w:t>
      </w:r>
      <w:r>
        <w:rPr>
          <w:rFonts w:hint="eastAsia" w:ascii="仿宋_GB2312" w:eastAsia="仿宋_GB2312"/>
          <w:color w:val="000000"/>
          <w:sz w:val="32"/>
          <w:szCs w:val="32"/>
          <w:highlight w:val="none"/>
          <w:lang w:val="en-US" w:eastAsia="zh-CN"/>
        </w:rPr>
        <w:t>支出决算为</w:t>
      </w:r>
      <w:r>
        <w:rPr>
          <w:rFonts w:hint="eastAsia" w:ascii="仿宋_GB2312" w:cs="仿宋_GB2312"/>
          <w:szCs w:val="32"/>
          <w:lang w:val="en-US" w:eastAsia="zh-CN" w:bidi="ar"/>
        </w:rPr>
        <w:t>0.00</w:t>
      </w:r>
      <w:r>
        <w:rPr>
          <w:rFonts w:hint="eastAsia" w:ascii="仿宋_GB2312" w:eastAsia="仿宋_GB2312"/>
          <w:color w:val="000000"/>
          <w:sz w:val="32"/>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lang w:val="en-US" w:eastAsia="zh-CN"/>
        </w:rPr>
        <w:t>预算的</w:t>
      </w:r>
      <w:r>
        <w:rPr>
          <w:rFonts w:hint="eastAsia" w:ascii="仿宋_GB2312" w:cs="仿宋_GB2312"/>
          <w:szCs w:val="32"/>
          <w:lang w:val="en-US" w:eastAsia="zh-CN" w:bidi="ar"/>
        </w:rPr>
        <w:t>0.00</w:t>
      </w:r>
      <w:r>
        <w:rPr>
          <w:rFonts w:hint="eastAsia" w:ascii="仿宋_GB2312" w:eastAsia="仿宋_GB2312"/>
          <w:color w:val="000000"/>
          <w:sz w:val="32"/>
          <w:szCs w:val="32"/>
          <w:highlight w:val="none"/>
          <w:lang w:val="en-US" w:eastAsia="zh-CN"/>
        </w:rPr>
        <w:t>%；</w:t>
      </w:r>
      <w:r>
        <w:rPr>
          <w:rFonts w:hint="eastAsia" w:ascii="仿宋_GB2312" w:hAnsi="仿宋_GB2312" w:cs="仿宋_GB2312"/>
          <w:lang w:val="en-US" w:eastAsia="zh-CN"/>
        </w:rPr>
        <w:t>较上年持平</w:t>
      </w:r>
      <w:r>
        <w:rPr>
          <w:rFonts w:hint="eastAsia" w:ascii="仿宋_GB2312" w:hAnsi="仿宋_GB2312" w:cs="仿宋_GB2312"/>
          <w:u w:val="none"/>
          <w:lang w:val="en-US" w:eastAsia="zh-CN"/>
        </w:rPr>
        <w:t>。</w:t>
      </w:r>
      <w:r>
        <w:rPr>
          <w:rFonts w:hint="eastAsia" w:ascii="仿宋_GB2312" w:hAnsi="仿宋_GB2312" w:eastAsia="仿宋_GB2312" w:cs="仿宋_GB2312"/>
          <w:lang w:val="en-US" w:eastAsia="zh-CN"/>
        </w:rPr>
        <w:t>决算数</w:t>
      </w:r>
      <w:r>
        <w:rPr>
          <w:rFonts w:hint="eastAsia" w:ascii="仿宋_GB2312" w:hAnsi="仿宋_GB2312" w:cs="仿宋_GB2312"/>
          <w:lang w:val="en-US" w:eastAsia="zh-CN"/>
        </w:rPr>
        <w:t>持平全年</w:t>
      </w:r>
      <w:r>
        <w:rPr>
          <w:rFonts w:hint="eastAsia" w:ascii="仿宋_GB2312" w:hAnsi="仿宋_GB2312" w:eastAsia="仿宋_GB2312" w:cs="仿宋_GB2312"/>
          <w:lang w:val="en-US" w:eastAsia="zh-CN"/>
        </w:rPr>
        <w:t>预算数的主要原因：</w:t>
      </w:r>
      <w:r>
        <w:rPr>
          <w:rFonts w:hint="eastAsia" w:ascii="仿宋_GB2312" w:hAnsi="仿宋_GB2312" w:cs="仿宋_GB2312"/>
          <w:lang w:val="en-US" w:eastAsia="zh-CN"/>
        </w:rPr>
        <w:t>取消了公务用车</w:t>
      </w:r>
      <w:r>
        <w:rPr>
          <w:rFonts w:hint="eastAsia" w:ascii="仿宋_GB2312" w:eastAsia="仿宋_GB2312"/>
          <w:color w:val="000000"/>
          <w:sz w:val="32"/>
          <w:szCs w:val="32"/>
          <w:highlight w:val="none"/>
          <w:lang w:val="en-US" w:eastAsia="zh-CN"/>
        </w:rPr>
        <w:t>：</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(1)公务用车购置费</w:t>
      </w:r>
      <w:r>
        <w:rPr>
          <w:rFonts w:hint="eastAsia" w:ascii="仿宋_GB2312"/>
          <w:color w:val="000000"/>
          <w:sz w:val="32"/>
          <w:szCs w:val="32"/>
          <w:highlight w:val="none"/>
          <w:lang w:val="en-US" w:eastAsia="zh-CN"/>
        </w:rPr>
        <w:t>支出</w:t>
      </w:r>
      <w:bookmarkStart w:id="0" w:name="_Hlk174352831"/>
      <w:r>
        <w:rPr>
          <w:rFonts w:hint="eastAsia" w:ascii="仿宋_GB2312" w:cs="仿宋_GB2312"/>
          <w:szCs w:val="32"/>
          <w:lang w:val="en-US" w:eastAsia="zh-CN" w:bidi="ar"/>
        </w:rPr>
        <w:t>0.00</w:t>
      </w:r>
      <w:bookmarkEnd w:id="0"/>
      <w:r>
        <w:rPr>
          <w:rFonts w:hint="eastAsia" w:ascii="仿宋_GB2312" w:eastAsia="仿宋_GB2312"/>
          <w:color w:val="000000"/>
          <w:sz w:val="32"/>
          <w:szCs w:val="32"/>
          <w:highlight w:val="none"/>
          <w:lang w:val="en-US" w:eastAsia="zh-CN"/>
        </w:rPr>
        <w:t>万元。本年度购置(更新)公务用车</w:t>
      </w:r>
      <w:bookmarkStart w:id="1" w:name="_Hlk174352867"/>
      <w:r>
        <w:rPr>
          <w:rFonts w:hint="eastAsia" w:ascii="仿宋_GB2312" w:cs="仿宋_GB2312"/>
          <w:szCs w:val="32"/>
          <w:lang w:val="en-US" w:eastAsia="zh-CN" w:bidi="ar"/>
        </w:rPr>
        <w:t>0</w:t>
      </w:r>
      <w:bookmarkEnd w:id="1"/>
      <w:r>
        <w:rPr>
          <w:rFonts w:hint="eastAsia" w:ascii="仿宋_GB2312" w:eastAsia="仿宋_GB2312"/>
          <w:color w:val="000000"/>
          <w:sz w:val="32"/>
          <w:szCs w:val="32"/>
          <w:highlight w:val="none"/>
          <w:lang w:val="en-US" w:eastAsia="zh-CN"/>
        </w:rPr>
        <w:t>辆。</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(2)公务用车运行费</w:t>
      </w:r>
      <w:r>
        <w:rPr>
          <w:rFonts w:hint="eastAsia" w:ascii="仿宋_GB2312"/>
          <w:color w:val="000000"/>
          <w:sz w:val="32"/>
          <w:szCs w:val="32"/>
          <w:highlight w:val="none"/>
          <w:lang w:val="en-US" w:eastAsia="zh-CN"/>
        </w:rPr>
        <w:t>支出</w:t>
      </w:r>
      <w:bookmarkStart w:id="2" w:name="_Hlk174352879"/>
      <w:r>
        <w:rPr>
          <w:rFonts w:hint="eastAsia" w:ascii="仿宋_GB2312" w:cs="仿宋_GB2312"/>
          <w:szCs w:val="32"/>
          <w:lang w:val="en-US" w:eastAsia="zh-CN" w:bidi="ar"/>
        </w:rPr>
        <w:t>0.00</w:t>
      </w:r>
      <w:bookmarkEnd w:id="2"/>
      <w:r>
        <w:rPr>
          <w:rFonts w:hint="eastAsia" w:ascii="仿宋_GB2312" w:eastAsia="仿宋_GB2312"/>
          <w:color w:val="000000"/>
          <w:sz w:val="32"/>
          <w:szCs w:val="32"/>
          <w:highlight w:val="none"/>
          <w:lang w:val="en-US" w:eastAsia="zh-CN"/>
        </w:rPr>
        <w:t>万元，主要</w:t>
      </w:r>
      <w:r>
        <w:rPr>
          <w:rFonts w:hint="eastAsia" w:ascii="仿宋_GB2312"/>
          <w:color w:val="000000"/>
          <w:sz w:val="32"/>
          <w:szCs w:val="32"/>
          <w:highlight w:val="none"/>
          <w:lang w:val="en-US" w:eastAsia="zh-CN"/>
        </w:rPr>
        <w:t>是取消了公务用车</w:t>
      </w:r>
      <w:r>
        <w:rPr>
          <w:rFonts w:hint="eastAsia" w:ascii="仿宋_GB2312" w:hAnsi="？？" w:eastAsia="仿宋_GB2312" w:cs="宋体"/>
          <w:color w:val="000000"/>
          <w:kern w:val="0"/>
          <w:sz w:val="32"/>
          <w:szCs w:val="32"/>
          <w:highlight w:val="none"/>
          <w:lang w:val="en-US" w:eastAsia="zh-CN"/>
        </w:rPr>
        <w:t>。</w:t>
      </w:r>
      <w:r>
        <w:rPr>
          <w:rFonts w:hint="eastAsia" w:ascii="仿宋_GB2312" w:eastAsia="仿宋_GB2312"/>
          <w:color w:val="000000"/>
          <w:sz w:val="32"/>
          <w:szCs w:val="32"/>
          <w:highlight w:val="none"/>
          <w:lang w:val="en-US" w:eastAsia="zh-CN"/>
        </w:rPr>
        <w:t>截</w:t>
      </w:r>
      <w:r>
        <w:rPr>
          <w:rFonts w:hint="eastAsia" w:ascii="仿宋_GB2312"/>
          <w:color w:val="000000"/>
          <w:sz w:val="32"/>
          <w:szCs w:val="32"/>
          <w:highlight w:val="none"/>
          <w:lang w:val="en-US" w:eastAsia="zh-CN"/>
        </w:rPr>
        <w:t>至2024年</w:t>
      </w:r>
      <w:r>
        <w:rPr>
          <w:rFonts w:hint="eastAsia" w:ascii="仿宋_GB2312" w:eastAsia="仿宋_GB2312"/>
          <w:color w:val="000000"/>
          <w:sz w:val="32"/>
          <w:szCs w:val="32"/>
          <w:highlight w:val="none"/>
          <w:lang w:val="en-US" w:eastAsia="zh-CN"/>
        </w:rPr>
        <w:t>12月31日，开支财政拨款的公务用车保有量</w:t>
      </w:r>
      <w:r>
        <w:rPr>
          <w:rFonts w:hint="eastAsia" w:ascii="仿宋_GB2312"/>
          <w:color w:val="000000"/>
          <w:sz w:val="32"/>
          <w:szCs w:val="32"/>
          <w:highlight w:val="none"/>
          <w:u w:val="none"/>
          <w:lang w:val="en-US" w:eastAsia="zh-CN"/>
        </w:rPr>
        <w:t>为</w:t>
      </w:r>
      <w:bookmarkStart w:id="3" w:name="_Hlk174352937"/>
      <w:r>
        <w:rPr>
          <w:rFonts w:hint="eastAsia" w:ascii="仿宋_GB2312" w:cs="仿宋_GB2312"/>
          <w:szCs w:val="32"/>
          <w:lang w:val="en-US" w:eastAsia="zh-CN" w:bidi="ar"/>
        </w:rPr>
        <w:t>0</w:t>
      </w:r>
      <w:bookmarkEnd w:id="3"/>
      <w:r>
        <w:rPr>
          <w:rFonts w:hint="eastAsia" w:ascii="仿宋_GB2312" w:eastAsia="仿宋_GB2312"/>
          <w:color w:val="000000"/>
          <w:sz w:val="32"/>
          <w:szCs w:val="32"/>
          <w:highlight w:val="none"/>
          <w:lang w:val="en-US" w:eastAsia="zh-CN"/>
        </w:rPr>
        <w:t>辆。</w:t>
      </w:r>
    </w:p>
    <w:p>
      <w:pPr>
        <w:numPr>
          <w:ilvl w:val="0"/>
          <w:numId w:val="0"/>
        </w:numPr>
        <w:bidi w:val="0"/>
        <w:ind w:firstLine="640" w:firstLineChars="200"/>
        <w:jc w:val="both"/>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3.公务接待费</w:t>
      </w:r>
      <w:r>
        <w:rPr>
          <w:rFonts w:hint="eastAsia" w:ascii="仿宋_GB2312" w:hAnsi="仿宋_GB2312" w:cs="仿宋_GB2312"/>
          <w:lang w:val="en-US" w:eastAsia="zh-CN"/>
        </w:rPr>
        <w:t>全年</w:t>
      </w:r>
      <w:r>
        <w:rPr>
          <w:rFonts w:hint="eastAsia" w:ascii="仿宋_GB2312"/>
          <w:color w:val="000000"/>
          <w:sz w:val="32"/>
          <w:szCs w:val="32"/>
          <w:highlight w:val="none"/>
          <w:lang w:val="en-US" w:eastAsia="zh-CN"/>
        </w:rPr>
        <w:t>预算为</w:t>
      </w:r>
      <w:bookmarkStart w:id="4" w:name="_Hlk174352948"/>
      <w:r>
        <w:rPr>
          <w:rFonts w:hint="eastAsia" w:ascii="仿宋_GB2312" w:cs="仿宋_GB2312"/>
          <w:szCs w:val="32"/>
          <w:lang w:val="en-US" w:eastAsia="zh-CN" w:bidi="ar"/>
        </w:rPr>
        <w:t>2.14</w:t>
      </w:r>
      <w:bookmarkEnd w:id="4"/>
      <w:r>
        <w:rPr>
          <w:rFonts w:hint="eastAsia" w:ascii="仿宋_GB2312" w:eastAsia="仿宋_GB2312"/>
          <w:color w:val="000000"/>
          <w:sz w:val="32"/>
          <w:szCs w:val="32"/>
          <w:highlight w:val="none"/>
          <w:lang w:val="en-US" w:eastAsia="zh-CN"/>
        </w:rPr>
        <w:t>万元</w:t>
      </w:r>
      <w:r>
        <w:rPr>
          <w:rFonts w:hint="eastAsia" w:ascii="仿宋_GB2312"/>
          <w:color w:val="000000"/>
          <w:sz w:val="32"/>
          <w:szCs w:val="32"/>
          <w:highlight w:val="none"/>
          <w:lang w:val="en-US" w:eastAsia="zh-CN"/>
        </w:rPr>
        <w:t>，</w:t>
      </w:r>
      <w:r>
        <w:rPr>
          <w:rFonts w:hint="eastAsia" w:ascii="仿宋_GB2312" w:eastAsia="仿宋_GB2312"/>
          <w:color w:val="000000"/>
          <w:sz w:val="32"/>
          <w:szCs w:val="32"/>
          <w:highlight w:val="none"/>
          <w:lang w:val="en-US" w:eastAsia="zh-CN"/>
        </w:rPr>
        <w:t>支出决算为</w:t>
      </w:r>
      <w:bookmarkStart w:id="5" w:name="_Hlk174352957"/>
      <w:r>
        <w:rPr>
          <w:rFonts w:hint="eastAsia" w:ascii="仿宋_GB2312" w:cs="仿宋_GB2312"/>
          <w:szCs w:val="32"/>
          <w:lang w:val="en-US" w:eastAsia="zh-CN" w:bidi="ar"/>
        </w:rPr>
        <w:t>2.14</w:t>
      </w:r>
      <w:bookmarkEnd w:id="5"/>
      <w:r>
        <w:rPr>
          <w:rFonts w:hint="eastAsia" w:ascii="仿宋_GB2312" w:eastAsia="仿宋_GB2312"/>
          <w:color w:val="000000"/>
          <w:sz w:val="32"/>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lang w:val="en-US" w:eastAsia="zh-CN"/>
        </w:rPr>
        <w:t>预算的</w:t>
      </w:r>
      <w:bookmarkStart w:id="6" w:name="_Hlk174352968"/>
      <w:r>
        <w:rPr>
          <w:rFonts w:hint="eastAsia" w:ascii="仿宋_GB2312" w:cs="仿宋_GB2312"/>
          <w:szCs w:val="32"/>
          <w:lang w:val="en-US" w:eastAsia="zh-CN" w:bidi="ar"/>
        </w:rPr>
        <w:t>100.0</w:t>
      </w:r>
      <w:bookmarkEnd w:id="6"/>
      <w:r>
        <w:rPr>
          <w:rFonts w:hint="eastAsia" w:ascii="仿宋_GB2312" w:eastAsia="仿宋_GB2312"/>
          <w:color w:val="000000"/>
          <w:sz w:val="32"/>
          <w:szCs w:val="32"/>
          <w:highlight w:val="none"/>
          <w:lang w:val="en-US" w:eastAsia="zh-CN"/>
        </w:rPr>
        <w:t>%</w:t>
      </w:r>
      <w:r>
        <w:rPr>
          <w:rFonts w:hint="eastAsia" w:ascii="仿宋_GB2312"/>
          <w:color w:val="000000"/>
          <w:sz w:val="32"/>
          <w:szCs w:val="32"/>
          <w:highlight w:val="none"/>
          <w:lang w:val="en-US" w:eastAsia="zh-CN"/>
        </w:rPr>
        <w:t>，</w:t>
      </w:r>
      <w:r>
        <w:rPr>
          <w:rFonts w:hint="eastAsia" w:ascii="仿宋_GB2312" w:hAnsi="仿宋_GB2312" w:cs="仿宋_GB2312"/>
          <w:lang w:val="en-US" w:eastAsia="zh-CN"/>
        </w:rPr>
        <w:t>较上年</w:t>
      </w:r>
      <w:r>
        <w:rPr>
          <w:rFonts w:hint="eastAsia" w:ascii="仿宋_GB2312" w:hAnsi="宋体"/>
          <w:szCs w:val="32"/>
          <w:lang w:val="en-US" w:eastAsia="zh-CN"/>
        </w:rPr>
        <w:t>减少1.20万元，下降35.9%</w:t>
      </w:r>
      <w:r>
        <w:rPr>
          <w:rFonts w:hint="eastAsia" w:ascii="仿宋_GB2312" w:hAnsi="仿宋_GB2312" w:cs="仿宋_GB2312"/>
          <w:u w:val="none"/>
          <w:lang w:val="en-US" w:eastAsia="zh-CN"/>
        </w:rPr>
        <w:t>。</w:t>
      </w:r>
      <w:r>
        <w:rPr>
          <w:rFonts w:hint="eastAsia" w:ascii="仿宋_GB2312" w:hAnsi="仿宋_GB2312" w:eastAsia="仿宋_GB2312" w:cs="仿宋_GB2312"/>
          <w:lang w:val="en-US" w:eastAsia="zh-CN"/>
        </w:rPr>
        <w:t>决算数</w:t>
      </w:r>
      <w:r>
        <w:rPr>
          <w:rFonts w:hint="eastAsia" w:ascii="仿宋_GB2312" w:hAnsi="宋体"/>
          <w:szCs w:val="32"/>
          <w:lang w:val="en-US" w:eastAsia="zh-CN"/>
        </w:rPr>
        <w:t>持平</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预算数的主要原因：从严控制“三公”经费开支</w:t>
      </w:r>
      <w:r>
        <w:rPr>
          <w:rFonts w:hint="eastAsia" w:ascii="仿宋_GB2312" w:hAnsi="仿宋_GB2312" w:cs="仿宋_GB2312"/>
          <w:lang w:val="en-US" w:eastAsia="zh-CN"/>
        </w:rPr>
        <w:t>，坚决按预算执行不突破。</w:t>
      </w:r>
      <w:r>
        <w:rPr>
          <w:rFonts w:hint="eastAsia" w:ascii="仿宋_GB2312" w:eastAsia="仿宋_GB2312"/>
          <w:color w:val="000000"/>
          <w:sz w:val="32"/>
          <w:szCs w:val="32"/>
          <w:highlight w:val="none"/>
          <w:lang w:val="en-US" w:eastAsia="zh-CN"/>
        </w:rPr>
        <w:t>其中：</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lang w:val="en-US" w:eastAsia="zh-CN"/>
        </w:rPr>
        <w:t>外宾接待支出</w:t>
      </w:r>
      <w:r>
        <w:rPr>
          <w:rFonts w:hint="eastAsia" w:ascii="仿宋_GB2312" w:cs="仿宋_GB2312"/>
          <w:szCs w:val="32"/>
          <w:lang w:val="en-US" w:eastAsia="zh-CN" w:bidi="ar"/>
        </w:rPr>
        <w:t>0.00</w:t>
      </w:r>
      <w:r>
        <w:rPr>
          <w:rFonts w:hint="eastAsia" w:ascii="仿宋_GB2312" w:eastAsia="仿宋_GB2312"/>
          <w:color w:val="000000"/>
          <w:sz w:val="32"/>
          <w:szCs w:val="32"/>
          <w:highlight w:val="none"/>
          <w:u w:val="none"/>
          <w:lang w:val="en-US" w:eastAsia="zh-CN"/>
        </w:rPr>
        <w:t>万元。</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共接待来访团组</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个，</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人次（不包括陪同人员）。</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default"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u w:val="none"/>
          <w:lang w:val="en-US" w:eastAsia="zh-CN"/>
        </w:rPr>
        <w:t>国内公务接待支出</w:t>
      </w:r>
      <w:r>
        <w:rPr>
          <w:rFonts w:hint="eastAsia" w:ascii="仿宋_GB2312" w:cs="仿宋_GB2312"/>
          <w:szCs w:val="32"/>
          <w:lang w:val="en-US" w:eastAsia="zh-CN" w:bidi="ar"/>
        </w:rPr>
        <w:t>2.14</w:t>
      </w:r>
      <w:r>
        <w:rPr>
          <w:rFonts w:hint="eastAsia" w:ascii="仿宋_GB2312" w:eastAsia="仿宋_GB2312"/>
          <w:color w:val="000000"/>
          <w:sz w:val="32"/>
          <w:szCs w:val="32"/>
          <w:highlight w:val="none"/>
          <w:u w:val="none"/>
          <w:lang w:val="en-US" w:eastAsia="zh-CN"/>
        </w:rPr>
        <w:t>万元，接待对象主要是</w:t>
      </w:r>
      <w:r>
        <w:rPr>
          <w:rFonts w:hint="eastAsia" w:ascii="仿宋_GB2312" w:eastAsia="仿宋_GB2312"/>
          <w:color w:val="auto"/>
          <w:sz w:val="32"/>
          <w:szCs w:val="32"/>
          <w:highlight w:val="none"/>
          <w:u w:val="none"/>
          <w:lang w:val="en-US" w:eastAsia="zh-CN"/>
        </w:rPr>
        <w:t>上级部门、业务单位和辖区村组干部</w:t>
      </w:r>
      <w:r>
        <w:rPr>
          <w:rFonts w:hint="eastAsia" w:ascii="仿宋_GB2312" w:eastAsia="仿宋_GB2312"/>
          <w:color w:val="000000"/>
          <w:sz w:val="32"/>
          <w:szCs w:val="32"/>
          <w:highlight w:val="none"/>
          <w:u w:val="none"/>
          <w:lang w:val="en-US" w:eastAsia="zh-CN"/>
        </w:rPr>
        <w:t>，主要是</w:t>
      </w:r>
      <w:r>
        <w:rPr>
          <w:rFonts w:hint="eastAsia" w:ascii="仿宋_GB2312" w:eastAsia="仿宋_GB2312"/>
          <w:color w:val="auto"/>
          <w:sz w:val="32"/>
          <w:szCs w:val="32"/>
          <w:highlight w:val="none"/>
          <w:u w:val="none"/>
          <w:lang w:val="en-US" w:eastAsia="zh-CN"/>
        </w:rPr>
        <w:t>开展单位工作交流、接受相关部门检查指导工作、各项</w:t>
      </w:r>
      <w:r>
        <w:rPr>
          <w:rFonts w:hint="eastAsia" w:ascii="仿宋_GB2312"/>
          <w:color w:val="auto"/>
          <w:sz w:val="32"/>
          <w:szCs w:val="32"/>
          <w:highlight w:val="none"/>
          <w:u w:val="none"/>
          <w:lang w:val="en-US" w:eastAsia="zh-CN"/>
        </w:rPr>
        <w:t>评比</w:t>
      </w:r>
      <w:r>
        <w:rPr>
          <w:rFonts w:hint="eastAsia" w:ascii="仿宋_GB2312" w:eastAsia="仿宋_GB2312"/>
          <w:color w:val="000000"/>
          <w:sz w:val="32"/>
          <w:szCs w:val="32"/>
          <w:highlight w:val="none"/>
          <w:u w:val="none"/>
          <w:lang w:val="en-US" w:eastAsia="zh-CN"/>
        </w:rPr>
        <w:t>工作。</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共接待国内来访团组</w:t>
      </w:r>
      <w:r>
        <w:rPr>
          <w:rFonts w:hint="eastAsia" w:ascii="仿宋_GB2312" w:cs="仿宋_GB2312"/>
          <w:szCs w:val="32"/>
          <w:lang w:val="en-US" w:eastAsia="zh-CN" w:bidi="ar"/>
        </w:rPr>
        <w:t>53</w:t>
      </w:r>
      <w:r>
        <w:rPr>
          <w:rFonts w:hint="eastAsia" w:ascii="仿宋_GB2312" w:eastAsia="仿宋_GB2312"/>
          <w:color w:val="000000"/>
          <w:sz w:val="32"/>
          <w:szCs w:val="32"/>
          <w:highlight w:val="none"/>
          <w:u w:val="none"/>
          <w:lang w:val="en-US" w:eastAsia="zh-CN"/>
        </w:rPr>
        <w:t>个</w:t>
      </w:r>
      <w:r>
        <w:rPr>
          <w:rFonts w:hint="eastAsia" w:ascii="仿宋_GB2312"/>
          <w:color w:val="000000"/>
          <w:sz w:val="32"/>
          <w:szCs w:val="32"/>
          <w:highlight w:val="none"/>
          <w:u w:val="none"/>
          <w:lang w:val="en-US" w:eastAsia="zh-CN"/>
        </w:rPr>
        <w:t>，</w:t>
      </w:r>
      <w:r>
        <w:rPr>
          <w:rFonts w:hint="eastAsia" w:ascii="仿宋_GB2312" w:cs="仿宋_GB2312"/>
          <w:szCs w:val="32"/>
          <w:lang w:val="en-US" w:eastAsia="zh-CN" w:bidi="ar"/>
        </w:rPr>
        <w:t>535</w:t>
      </w:r>
      <w:r>
        <w:rPr>
          <w:rFonts w:hint="eastAsia" w:ascii="仿宋_GB2312" w:eastAsia="仿宋_GB2312"/>
          <w:color w:val="000000"/>
          <w:sz w:val="32"/>
          <w:szCs w:val="32"/>
          <w:highlight w:val="none"/>
          <w:u w:val="none"/>
          <w:lang w:val="en-US" w:eastAsia="zh-CN"/>
        </w:rPr>
        <w:t>人次（不包括陪同人员）。</w:t>
      </w:r>
    </w:p>
    <w:p>
      <w:pPr>
        <w:pageBreakBefore w:val="0"/>
        <w:widowControl w:val="0"/>
        <w:kinsoku/>
        <w:wordWrap/>
        <w:overflowPunct/>
        <w:topLinePunct w:val="0"/>
        <w:bidi w:val="0"/>
        <w:adjustRightInd w:val="0"/>
        <w:snapToGrid w:val="0"/>
        <w:spacing w:line="360" w:lineRule="auto"/>
        <w:ind w:firstLine="643" w:firstLineChars="200"/>
        <w:jc w:val="both"/>
        <w:textAlignment w:val="auto"/>
        <w:rPr>
          <w:rFonts w:hint="eastAsia" w:ascii="仿宋_GB2312" w:hAnsi="仿宋_GB2312" w:cs="仿宋_GB2312"/>
          <w:b/>
          <w:bCs/>
          <w:sz w:val="32"/>
          <w:szCs w:val="32"/>
          <w:lang w:val="en-US" w:eastAsia="zh-CN"/>
        </w:rPr>
      </w:pPr>
      <w:r>
        <w:rPr>
          <w:rFonts w:hint="eastAsia" w:ascii="仿宋_GB2312"/>
          <w:b/>
          <w:bCs/>
          <w:color w:val="000000"/>
          <w:sz w:val="32"/>
          <w:szCs w:val="32"/>
          <w:highlight w:val="none"/>
          <w:lang w:val="en-US" w:eastAsia="zh-CN"/>
        </w:rPr>
        <w:t>（</w:t>
      </w:r>
      <w:r>
        <w:rPr>
          <w:rFonts w:hint="eastAsia" w:ascii="仿宋_GB2312" w:eastAsia="仿宋_GB2312"/>
          <w:b/>
          <w:bCs/>
          <w:color w:val="000000"/>
          <w:sz w:val="32"/>
          <w:szCs w:val="32"/>
          <w:highlight w:val="none"/>
          <w:lang w:val="en-US" w:eastAsia="zh-CN"/>
        </w:rPr>
        <w:t>注意事项：“三公”经费为零的部门单位，要做文字性描述，并说明原因，不可为空。</w:t>
      </w:r>
      <w:r>
        <w:rPr>
          <w:rFonts w:hint="eastAsia" w:ascii="仿宋_GB2312"/>
          <w:b/>
          <w:bCs/>
          <w:color w:val="000000"/>
          <w:sz w:val="32"/>
          <w:szCs w:val="32"/>
          <w:highlight w:val="none"/>
          <w:lang w:val="en-US" w:eastAsia="zh-CN"/>
        </w:rPr>
        <w:t>）</w:t>
      </w:r>
    </w:p>
    <w:p>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十、机关运行经费支出说明</w:t>
      </w:r>
    </w:p>
    <w:p>
      <w:pPr>
        <w:pStyle w:val="10"/>
        <w:jc w:val="both"/>
        <w:rPr>
          <w:rFonts w:hint="eastAsia" w:ascii="仿宋_GB2312" w:eastAsia="仿宋_GB2312"/>
          <w:szCs w:val="32"/>
          <w:lang w:val="en-US" w:eastAsia="zh-CN"/>
        </w:rPr>
      </w:pPr>
      <w:r>
        <w:rPr>
          <w:rFonts w:hint="eastAsia" w:ascii="仿宋_GB2312" w:hAnsi="楷体_GB2312" w:eastAsia="仿宋_GB2312" w:cs="楷体_GB2312"/>
          <w:szCs w:val="32"/>
          <w:lang w:val="en-US" w:eastAsia="zh-CN"/>
        </w:rPr>
        <w:t>省直</w:t>
      </w:r>
      <w:r>
        <w:rPr>
          <w:rFonts w:hint="eastAsia" w:ascii="仿宋_GB2312" w:eastAsia="仿宋_GB2312"/>
          <w:szCs w:val="32"/>
          <w:lang w:val="en-US" w:eastAsia="zh-CN"/>
        </w:rPr>
        <w:t>部门应当按照如下格式说明：本部门2024年度机关运行经费支出0.00万元（与部门决算中行政单位和参照公务员法管理事业单位财政拨款基本支出中公用经费之和一致），比年初预算数</w:t>
      </w:r>
      <w:r>
        <w:rPr>
          <w:rFonts w:hint="eastAsia" w:ascii="仿宋_GB2312" w:hAnsi="宋体" w:eastAsia="仿宋_GB2312"/>
          <w:szCs w:val="32"/>
          <w:lang w:val="en-US" w:eastAsia="zh-CN"/>
        </w:rPr>
        <w:t>持平；</w:t>
      </w:r>
      <w:r>
        <w:rPr>
          <w:rFonts w:hint="eastAsia" w:ascii="仿宋_GB2312" w:eastAsia="仿宋_GB2312"/>
          <w:szCs w:val="32"/>
          <w:lang w:val="en-US" w:eastAsia="zh-CN"/>
        </w:rPr>
        <w:t>比上年决算数</w:t>
      </w:r>
      <w:r>
        <w:rPr>
          <w:rFonts w:hint="eastAsia" w:ascii="仿宋_GB2312" w:hAnsi="宋体" w:eastAsia="仿宋_GB2312"/>
          <w:szCs w:val="32"/>
          <w:lang w:val="en-US" w:eastAsia="zh-CN"/>
        </w:rPr>
        <w:t>持平</w:t>
      </w:r>
      <w:r>
        <w:rPr>
          <w:rFonts w:hint="eastAsia" w:ascii="仿宋_GB2312" w:eastAsia="仿宋_GB2312"/>
          <w:szCs w:val="32"/>
          <w:lang w:val="en-US" w:eastAsia="zh-CN"/>
        </w:rPr>
        <w:t>。主要原因是：办公设施设备购置经费增加（减少）/资产运行维护支出增加（减少）/信息系统运行维护支出增加（减少）/人员编制数量增加（减少）/落实过紧日子要求压减 XX 支出/……等（具体增减原因由部门根据实际情况填列）。</w:t>
      </w:r>
    </w:p>
    <w:p>
      <w:pPr>
        <w:pStyle w:val="1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（说明：非参公管理的事业单位不填写，也不用说明。）</w:t>
      </w:r>
    </w:p>
    <w:p>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十一、政府采购支出说明</w:t>
      </w:r>
    </w:p>
    <w:p>
      <w:pPr>
        <w:numPr>
          <w:ilvl w:val="0"/>
          <w:numId w:val="0"/>
        </w:numPr>
        <w:bidi w:val="0"/>
        <w:ind w:firstLine="640" w:firstLineChars="200"/>
        <w:jc w:val="both"/>
        <w:rPr>
          <w:rFonts w:hint="eastAsia"/>
          <w:lang w:val="en-US" w:eastAsia="zh-CN"/>
        </w:rPr>
      </w:pPr>
      <w:r>
        <w:rPr>
          <w:rFonts w:hint="eastAsia" w:ascii="仿宋_GB2312" w:hAnsi="仿宋_GB2312" w:eastAsia="仿宋_GB2312" w:cs="仿宋_GB2312"/>
          <w:sz w:val="32"/>
          <w:szCs w:val="32"/>
          <w:lang w:val="en-US" w:eastAsia="zh-CN"/>
        </w:rPr>
        <w:t xml:space="preserve">本部门 </w:t>
      </w:r>
      <w:r>
        <w:rPr>
          <w:rFonts w:hint="eastAsia" w:ascii="仿宋_GB2312" w:hAnsi="仿宋_GB2312" w:cs="仿宋_GB2312"/>
          <w:sz w:val="32"/>
          <w:szCs w:val="32"/>
          <w:lang w:val="en-US" w:eastAsia="zh-CN"/>
        </w:rPr>
        <w:t>2024</w:t>
      </w:r>
      <w:r>
        <w:rPr>
          <w:rFonts w:hint="eastAsia" w:ascii="仿宋_GB2312" w:hAnsi="仿宋_GB2312" w:eastAsia="仿宋_GB2312" w:cs="仿宋_GB2312"/>
          <w:sz w:val="32"/>
          <w:szCs w:val="32"/>
          <w:lang w:val="en-US" w:eastAsia="zh-CN"/>
        </w:rPr>
        <w:t>年度政府采购支出总额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万元，其中：政府采购货物支出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万元、政府采购工程支出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万元、政府采购服务支出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万元。授予中小企业合同金额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万元，占政府采购支出总额的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%，其中：授予小微企业合同金额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万元，占授予中小企业合同金额的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%；货物采购授予中小企业合同金额占货物支出金额的</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%，工程采购授予中小企业合同金额占工程支出金额的</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%，服务采购授予中小企业合同金额占服务支出金额的</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%。（各部门公开的政府采购金额的计算口径为：本部门纳入</w:t>
      </w:r>
      <w:r>
        <w:rPr>
          <w:rFonts w:hint="eastAsia" w:ascii="仿宋_GB2312" w:hAnsi="仿宋_GB2312" w:cs="仿宋_GB2312"/>
          <w:sz w:val="32"/>
          <w:szCs w:val="32"/>
          <w:lang w:val="en-US" w:eastAsia="zh-CN"/>
        </w:rPr>
        <w:t>2024</w:t>
      </w:r>
      <w:r>
        <w:rPr>
          <w:rFonts w:hint="eastAsia" w:ascii="仿宋_GB2312" w:hAnsi="仿宋_GB2312" w:eastAsia="仿宋_GB2312" w:cs="仿宋_GB2312"/>
          <w:sz w:val="32"/>
          <w:szCs w:val="32"/>
          <w:lang w:val="en-US" w:eastAsia="zh-CN"/>
        </w:rPr>
        <w:t>年度部门预算范围的各项政府采购支出金额之和）</w:t>
      </w:r>
    </w:p>
    <w:p>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十二、国有资产占用情况说明</w:t>
      </w:r>
    </w:p>
    <w:p>
      <w:pPr>
        <w:bidi w:val="0"/>
        <w:ind w:firstLine="640" w:firstLineChars="200"/>
        <w:jc w:val="both"/>
        <w:rPr>
          <w:rFonts w:hint="eastAsia"/>
          <w:lang w:val="en-US" w:eastAsia="zh-CN"/>
        </w:rPr>
      </w:pPr>
      <w:r>
        <w:rPr>
          <w:rFonts w:hint="eastAsia" w:ascii="仿宋_GB2312" w:hAnsi="仿宋_GB2312" w:eastAsia="仿宋_GB2312" w:cs="仿宋_GB2312"/>
          <w:szCs w:val="32"/>
          <w:lang w:val="en-US" w:eastAsia="zh-CN"/>
        </w:rPr>
        <w:t>截至</w:t>
      </w:r>
      <w:r>
        <w:rPr>
          <w:rFonts w:hint="eastAsia" w:ascii="仿宋_GB2312" w:hAnsi="仿宋_GB2312" w:cs="仿宋_GB2312"/>
          <w:szCs w:val="32"/>
          <w:lang w:val="en-US" w:eastAsia="zh-CN"/>
        </w:rPr>
        <w:t>2024</w:t>
      </w:r>
      <w:r>
        <w:rPr>
          <w:rFonts w:hint="eastAsia" w:ascii="仿宋_GB2312" w:hAnsi="仿宋_GB2312" w:eastAsia="仿宋_GB2312" w:cs="仿宋_GB2312"/>
          <w:szCs w:val="32"/>
          <w:lang w:val="en-US" w:eastAsia="zh-CN"/>
        </w:rPr>
        <w:t>年12月31日，</w:t>
      </w:r>
      <w:r>
        <w:rPr>
          <w:rFonts w:hint="eastAsia" w:ascii="仿宋_GB2312" w:hAnsi="仿宋_GB2312" w:cs="仿宋_GB2312"/>
          <w:szCs w:val="32"/>
          <w:lang w:val="en-US" w:eastAsia="zh-CN"/>
        </w:rPr>
        <w:t>通山县九宫山镇财政所本级</w:t>
      </w:r>
      <w:r>
        <w:rPr>
          <w:rFonts w:hint="eastAsia" w:ascii="仿宋_GB2312" w:hAnsi="仿宋_GB2312" w:eastAsia="仿宋_GB2312" w:cs="仿宋_GB2312"/>
          <w:szCs w:val="32"/>
          <w:lang w:val="en-US" w:eastAsia="zh-CN"/>
        </w:rPr>
        <w:t>共有车辆</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辆，其中，副省级及以上领导干部用车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辆、主要</w:t>
      </w:r>
      <w:r>
        <w:rPr>
          <w:rFonts w:hint="eastAsia" w:ascii="仿宋_GB2312" w:hAnsi="仿宋_GB2312" w:cs="仿宋_GB2312"/>
          <w:szCs w:val="32"/>
          <w:lang w:val="en-US" w:eastAsia="zh-CN"/>
        </w:rPr>
        <w:t>负责人</w:t>
      </w:r>
      <w:r>
        <w:rPr>
          <w:rFonts w:hint="eastAsia" w:ascii="仿宋_GB2312" w:hAnsi="仿宋_GB2312" w:eastAsia="仿宋_GB2312" w:cs="仿宋_GB2312"/>
          <w:szCs w:val="32"/>
          <w:lang w:val="en-US" w:eastAsia="zh-CN"/>
        </w:rPr>
        <w:t>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辆、机要通信用车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辆、应急保障用车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辆、执法执勤用车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辆、特种专业技术用车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离退休干部服务用车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其他用车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lang w:val="en-US" w:eastAsia="zh-CN"/>
        </w:rPr>
        <w:t>单位价值 100万元以上设备</w:t>
      </w:r>
      <w:r>
        <w:rPr>
          <w:rFonts w:hint="eastAsia" w:ascii="仿宋_GB2312" w:cs="仿宋_GB2312"/>
          <w:szCs w:val="32"/>
          <w:lang w:val="en-US" w:eastAsia="zh-CN" w:bidi="ar"/>
        </w:rPr>
        <w:t>0</w:t>
      </w:r>
      <w:r>
        <w:rPr>
          <w:rFonts w:hint="eastAsia"/>
          <w:lang w:val="en-US" w:eastAsia="zh-CN"/>
        </w:rPr>
        <w:t xml:space="preserve"> 台（套）。</w:t>
      </w:r>
    </w:p>
    <w:p>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十三、预算绩效情况说明</w:t>
      </w:r>
    </w:p>
    <w:p>
      <w:pPr>
        <w:bidi w:val="0"/>
        <w:ind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(一)预算绩效管理工作开展情况。</w:t>
      </w:r>
    </w:p>
    <w:p>
      <w:pPr>
        <w:pStyle w:val="10"/>
        <w:spacing w:line="500" w:lineRule="exact"/>
        <w:rPr>
          <w:rFonts w:ascii="Times New Roman" w:hAnsi="Times New Roman" w:eastAsia="仿宋_GB2312" w:cs="Times New Roman"/>
          <w:color w:val="000000"/>
        </w:rPr>
      </w:pPr>
      <w:r>
        <w:rPr>
          <w:rFonts w:ascii="Times New Roman" w:hAnsi="Times New Roman" w:eastAsia="仿宋_GB2312" w:cs="Times New Roman"/>
          <w:color w:val="000000"/>
        </w:rPr>
        <w:t>根据预算绩效管理要求，本部门组织对202</w:t>
      </w:r>
      <w:r>
        <w:rPr>
          <w:rFonts w:hint="eastAsia" w:ascii="Times New Roman" w:hAnsi="Times New Roman" w:eastAsia="仿宋_GB2312" w:cs="Times New Roman"/>
          <w:color w:val="000000"/>
          <w:lang w:val="en-US" w:eastAsia="zh-CN"/>
        </w:rPr>
        <w:t>4</w:t>
      </w:r>
      <w:r>
        <w:rPr>
          <w:rFonts w:ascii="Times New Roman" w:hAnsi="Times New Roman" w:eastAsia="仿宋_GB2312" w:cs="Times New Roman"/>
          <w:color w:val="000000"/>
        </w:rPr>
        <w:t>年度一般公共预算项目支出全面开展绩效自评，共涉及项目</w:t>
      </w:r>
      <w:r>
        <w:rPr>
          <w:rFonts w:hint="eastAsia" w:ascii="Times New Roman" w:hAnsi="Times New Roman" w:eastAsia="仿宋_GB2312" w:cs="Times New Roman"/>
          <w:color w:val="000000"/>
          <w:lang w:val="en-US" w:eastAsia="zh-CN"/>
        </w:rPr>
        <w:t>3</w:t>
      </w:r>
      <w:r>
        <w:rPr>
          <w:rFonts w:ascii="Times New Roman" w:hAnsi="Times New Roman" w:eastAsia="仿宋_GB2312" w:cs="Times New Roman"/>
          <w:color w:val="000000"/>
        </w:rPr>
        <w:t>个，资金</w:t>
      </w:r>
      <w:r>
        <w:rPr>
          <w:rFonts w:hint="eastAsia" w:ascii="Times New Roman" w:hAnsi="Times New Roman" w:eastAsia="仿宋_GB2312" w:cs="Times New Roman"/>
          <w:color w:val="000000"/>
          <w:lang w:val="en-US" w:eastAsia="zh-CN"/>
        </w:rPr>
        <w:t>25</w:t>
      </w:r>
      <w:r>
        <w:rPr>
          <w:rFonts w:ascii="Times New Roman" w:hAnsi="Times New Roman" w:eastAsia="仿宋_GB2312" w:cs="Times New Roman"/>
          <w:color w:val="000000"/>
        </w:rPr>
        <w:t>万元，占一般公共预算项目支出总额的</w:t>
      </w:r>
      <w:r>
        <w:rPr>
          <w:rFonts w:ascii="Times New Roman" w:hAnsi="Times New Roman" w:eastAsia="仿宋_GB2312" w:cs="Times New Roman"/>
          <w:color w:val="000000"/>
          <w:u w:val="single"/>
        </w:rPr>
        <w:t>100</w:t>
      </w:r>
      <w:r>
        <w:rPr>
          <w:rFonts w:ascii="Times New Roman" w:hAnsi="Times New Roman" w:eastAsia="仿宋_GB2312" w:cs="Times New Roman"/>
          <w:color w:val="000000"/>
        </w:rPr>
        <w:t>％。从评价情况来看，202</w:t>
      </w:r>
      <w:r>
        <w:rPr>
          <w:rFonts w:hint="eastAsia" w:ascii="Times New Roman" w:hAnsi="Times New Roman" w:eastAsia="仿宋_GB2312" w:cs="Times New Roman"/>
          <w:color w:val="000000"/>
          <w:lang w:val="en-US" w:eastAsia="zh-CN"/>
        </w:rPr>
        <w:t>4</w:t>
      </w:r>
      <w:r>
        <w:rPr>
          <w:rFonts w:ascii="Times New Roman" w:hAnsi="Times New Roman" w:eastAsia="仿宋_GB2312" w:cs="Times New Roman"/>
          <w:color w:val="000000"/>
        </w:rPr>
        <w:t>年项目资金执行情况良好，资金使用规范，项目产出和效果达到预期目标，项目可持续性强，各项目自评结果良好。</w:t>
      </w:r>
    </w:p>
    <w:p>
      <w:pPr>
        <w:spacing w:line="560" w:lineRule="exact"/>
        <w:ind w:firstLine="640"/>
        <w:rPr>
          <w:rFonts w:hint="eastAsia" w:ascii="仿宋_GB2312" w:hAnsi="仿宋" w:eastAsia="仿宋_GB2312" w:cs="仿宋"/>
          <w:color w:val="auto"/>
          <w:sz w:val="32"/>
          <w:szCs w:val="32"/>
          <w:lang w:eastAsia="zh-CN"/>
        </w:rPr>
      </w:pPr>
      <w:r>
        <w:rPr>
          <w:rFonts w:ascii="Times New Roman" w:hAnsi="Times New Roman" w:eastAsia="仿宋_GB2312" w:cs="Times New Roman"/>
          <w:color w:val="000000"/>
        </w:rPr>
        <w:t>本部门组织开展了部门整体支出绩效评价</w:t>
      </w:r>
      <w:r>
        <w:rPr>
          <w:rFonts w:hint="eastAsia" w:ascii="Times New Roman" w:hAnsi="Times New Roman" w:cs="Times New Roman"/>
          <w:color w:val="000000"/>
          <w:lang w:eastAsia="zh-CN"/>
        </w:rPr>
        <w:t>。</w:t>
      </w:r>
      <w:r>
        <w:rPr>
          <w:rFonts w:hint="eastAsia" w:ascii="仿宋_GB2312" w:hAnsi="仿宋" w:cs="仿宋"/>
          <w:color w:val="auto"/>
          <w:sz w:val="32"/>
          <w:szCs w:val="32"/>
          <w:lang w:val="en-US" w:eastAsia="zh-CN"/>
        </w:rPr>
        <w:t>2024年</w:t>
      </w:r>
      <w:r>
        <w:rPr>
          <w:rFonts w:hint="eastAsia" w:ascii="仿宋_GB2312" w:hAnsi="仿宋" w:cs="仿宋"/>
          <w:color w:val="auto"/>
          <w:szCs w:val="32"/>
          <w:lang w:eastAsia="zh-CN"/>
        </w:rPr>
        <w:t>部门整体支出</w:t>
      </w:r>
      <w:r>
        <w:rPr>
          <w:rFonts w:hint="eastAsia" w:ascii="仿宋_GB2312" w:hAnsi="仿宋" w:cs="仿宋"/>
          <w:color w:val="auto"/>
          <w:szCs w:val="32"/>
          <w:lang w:val="en-US" w:eastAsia="zh-CN"/>
        </w:rPr>
        <w:t>424.37</w:t>
      </w:r>
      <w:r>
        <w:rPr>
          <w:rFonts w:hint="eastAsia" w:ascii="仿宋_GB2312" w:hAnsi="仿宋" w:eastAsia="仿宋_GB2312" w:cs="仿宋"/>
          <w:color w:val="auto"/>
          <w:szCs w:val="32"/>
        </w:rPr>
        <w:t>万元</w:t>
      </w:r>
      <w:r>
        <w:rPr>
          <w:rFonts w:hint="eastAsia" w:ascii="仿宋_GB2312" w:hAnsi="仿宋" w:cs="仿宋"/>
          <w:color w:val="auto"/>
          <w:szCs w:val="32"/>
          <w:lang w:eastAsia="zh-CN"/>
        </w:rPr>
        <w:t>，</w:t>
      </w:r>
      <w:r>
        <w:rPr>
          <w:rFonts w:ascii="Times New Roman" w:hAnsi="Times New Roman" w:eastAsia="仿宋_GB2312" w:cs="Times New Roman"/>
          <w:color w:val="000000"/>
        </w:rPr>
        <w:t>从评价情况来看，202</w:t>
      </w:r>
      <w:r>
        <w:rPr>
          <w:rFonts w:hint="eastAsia" w:cs="Times New Roman"/>
          <w:color w:val="000000"/>
          <w:lang w:val="en-US" w:eastAsia="zh-CN"/>
        </w:rPr>
        <w:t>4</w:t>
      </w:r>
      <w:r>
        <w:rPr>
          <w:rFonts w:ascii="Times New Roman" w:hAnsi="Times New Roman" w:eastAsia="仿宋_GB2312" w:cs="Times New Roman"/>
          <w:color w:val="000000"/>
        </w:rPr>
        <w:t>年部门预算执行情况良好，部门整体支出产出和效果达到预期目标。一是资金拨付及时，“以小撬大”杠杆放大效应充分发挥；二是组织开展了事前绩效评估，事中绩效目标管理、绩效监控和评价结果应用；三是组织开展了财务检查、单位内控考评、预决算及时公开、涉农惠民资金发放管理核查。</w:t>
      </w:r>
    </w:p>
    <w:p>
      <w:pPr>
        <w:pStyle w:val="10"/>
        <w:spacing w:line="500" w:lineRule="exact"/>
        <w:rPr>
          <w:rFonts w:ascii="Times New Roman" w:hAnsi="Times New Roman" w:eastAsia="仿宋_GB2312" w:cs="Times New Roman"/>
          <w:color w:val="000000"/>
        </w:rPr>
      </w:pPr>
    </w:p>
    <w:p>
      <w:pPr>
        <w:widowControl/>
        <w:spacing w:line="500" w:lineRule="exact"/>
        <w:ind w:firstLine="620" w:firstLineChars="200"/>
        <w:jc w:val="left"/>
        <w:rPr>
          <w:color w:val="000000"/>
        </w:rPr>
      </w:pPr>
      <w:r>
        <w:rPr>
          <w:color w:val="000000"/>
          <w:kern w:val="0"/>
          <w:sz w:val="31"/>
          <w:szCs w:val="31"/>
          <w:lang w:bidi="ar"/>
        </w:rPr>
        <w:t>《202</w:t>
      </w:r>
      <w:r>
        <w:rPr>
          <w:rFonts w:hint="eastAsia"/>
          <w:color w:val="000000"/>
          <w:kern w:val="0"/>
          <w:sz w:val="31"/>
          <w:szCs w:val="31"/>
          <w:lang w:val="en-US" w:eastAsia="zh-CN" w:bidi="ar"/>
        </w:rPr>
        <w:t>4</w:t>
      </w:r>
      <w:r>
        <w:rPr>
          <w:color w:val="000000"/>
          <w:kern w:val="0"/>
          <w:sz w:val="31"/>
          <w:szCs w:val="31"/>
          <w:lang w:bidi="ar"/>
        </w:rPr>
        <w:t>年度</w:t>
      </w:r>
      <w:r>
        <w:rPr>
          <w:rFonts w:hint="eastAsia"/>
          <w:color w:val="000000"/>
          <w:kern w:val="0"/>
          <w:sz w:val="31"/>
          <w:szCs w:val="31"/>
          <w:lang w:val="en-US" w:eastAsia="zh-CN" w:bidi="ar"/>
        </w:rPr>
        <w:t>九宫山</w:t>
      </w:r>
      <w:r>
        <w:rPr>
          <w:color w:val="000000"/>
          <w:kern w:val="0"/>
          <w:sz w:val="31"/>
          <w:szCs w:val="31"/>
          <w:lang w:bidi="ar"/>
        </w:rPr>
        <w:t>镇财政所部门整体绩效自评报告》及《202</w:t>
      </w:r>
      <w:r>
        <w:rPr>
          <w:rFonts w:hint="eastAsia"/>
          <w:color w:val="000000"/>
          <w:kern w:val="0"/>
          <w:sz w:val="31"/>
          <w:szCs w:val="31"/>
          <w:lang w:val="en-US" w:eastAsia="zh-CN" w:bidi="ar"/>
        </w:rPr>
        <w:t>4</w:t>
      </w:r>
      <w:r>
        <w:rPr>
          <w:color w:val="000000"/>
          <w:kern w:val="0"/>
          <w:sz w:val="31"/>
          <w:szCs w:val="31"/>
          <w:lang w:bidi="ar"/>
        </w:rPr>
        <w:t>年度</w:t>
      </w:r>
      <w:r>
        <w:rPr>
          <w:rFonts w:hint="eastAsia"/>
          <w:color w:val="000000"/>
          <w:kern w:val="0"/>
          <w:sz w:val="31"/>
          <w:szCs w:val="31"/>
          <w:lang w:val="en-US" w:eastAsia="zh-CN" w:bidi="ar"/>
        </w:rPr>
        <w:t>九宫山</w:t>
      </w:r>
      <w:r>
        <w:rPr>
          <w:color w:val="000000"/>
          <w:kern w:val="0"/>
          <w:sz w:val="31"/>
          <w:szCs w:val="31"/>
          <w:lang w:bidi="ar"/>
        </w:rPr>
        <w:t>镇财政所部门</w:t>
      </w:r>
      <w:r>
        <w:rPr>
          <w:rFonts w:hint="eastAsia"/>
          <w:color w:val="000000"/>
          <w:kern w:val="0"/>
          <w:sz w:val="31"/>
          <w:szCs w:val="31"/>
          <w:lang w:val="en-US" w:eastAsia="zh-CN" w:bidi="ar"/>
        </w:rPr>
        <w:t>整体绩效</w:t>
      </w:r>
      <w:r>
        <w:rPr>
          <w:color w:val="000000"/>
          <w:kern w:val="0"/>
          <w:sz w:val="31"/>
          <w:szCs w:val="31"/>
          <w:lang w:bidi="ar"/>
        </w:rPr>
        <w:t>自评表》详见附件1。</w:t>
      </w:r>
    </w:p>
    <w:p>
      <w:pPr>
        <w:pStyle w:val="10"/>
        <w:spacing w:line="500" w:lineRule="exact"/>
      </w:pPr>
      <w:r>
        <w:rPr>
          <w:rFonts w:ascii="Times New Roman" w:hAnsi="Times New Roman" w:eastAsia="楷体_GB2312" w:cs="Times New Roman"/>
          <w:color w:val="000000"/>
          <w:szCs w:val="32"/>
        </w:rPr>
        <w:t>（二）部门决算中项目绩效自评结果</w:t>
      </w:r>
    </w:p>
    <w:p>
      <w:pPr>
        <w:spacing w:line="500" w:lineRule="exact"/>
        <w:ind w:firstLine="960" w:firstLineChars="300"/>
        <w:rPr>
          <w:color w:val="000000"/>
          <w:szCs w:val="32"/>
        </w:rPr>
      </w:pPr>
      <w:r>
        <w:rPr>
          <w:rFonts w:hint="eastAsia"/>
          <w:color w:val="000000"/>
          <w:szCs w:val="32"/>
          <w:lang w:val="en-US" w:eastAsia="zh-CN"/>
        </w:rPr>
        <w:t>1</w:t>
      </w:r>
      <w:r>
        <w:rPr>
          <w:color w:val="000000"/>
          <w:szCs w:val="32"/>
        </w:rPr>
        <w:t>.村级公益事业建设项目绩效自评综述：项目全年预算数为</w:t>
      </w:r>
      <w:r>
        <w:rPr>
          <w:rFonts w:hint="eastAsia"/>
          <w:color w:val="000000"/>
          <w:szCs w:val="32"/>
          <w:lang w:val="en-US" w:eastAsia="zh-CN"/>
        </w:rPr>
        <w:t>25</w:t>
      </w:r>
      <w:r>
        <w:rPr>
          <w:color w:val="000000"/>
          <w:szCs w:val="32"/>
        </w:rPr>
        <w:t>万元，执行数为</w:t>
      </w:r>
      <w:r>
        <w:rPr>
          <w:rFonts w:hint="eastAsia"/>
          <w:color w:val="000000"/>
          <w:szCs w:val="32"/>
          <w:lang w:val="en-US" w:eastAsia="zh-CN"/>
        </w:rPr>
        <w:t>25</w:t>
      </w:r>
      <w:r>
        <w:rPr>
          <w:color w:val="000000"/>
          <w:szCs w:val="32"/>
        </w:rPr>
        <w:t>万元，完成预算</w:t>
      </w:r>
      <w:r>
        <w:rPr>
          <w:color w:val="000000"/>
          <w:szCs w:val="32"/>
          <w:u w:val="single"/>
        </w:rPr>
        <w:t>100</w:t>
      </w:r>
      <w:r>
        <w:rPr>
          <w:color w:val="000000"/>
          <w:szCs w:val="32"/>
        </w:rPr>
        <w:t>％。主要产出和效益：一是数量指标，涉及村级数量</w:t>
      </w:r>
      <w:r>
        <w:rPr>
          <w:rFonts w:hint="eastAsia"/>
          <w:color w:val="000000"/>
          <w:szCs w:val="32"/>
          <w:lang w:val="en-US" w:eastAsia="zh-CN"/>
        </w:rPr>
        <w:t>3</w:t>
      </w:r>
      <w:r>
        <w:rPr>
          <w:color w:val="000000"/>
          <w:szCs w:val="32"/>
        </w:rPr>
        <w:t>个，完成数</w:t>
      </w:r>
      <w:r>
        <w:rPr>
          <w:rFonts w:hint="eastAsia"/>
          <w:color w:val="000000"/>
          <w:szCs w:val="32"/>
          <w:lang w:val="en-US" w:eastAsia="zh-CN"/>
        </w:rPr>
        <w:t>3</w:t>
      </w:r>
      <w:r>
        <w:rPr>
          <w:color w:val="000000"/>
          <w:szCs w:val="32"/>
        </w:rPr>
        <w:t>个；二是质量指标，项目质量按行业质量验收标准，全部验收合格；三是时效指标，项目全部于当年12月份全部完工；四是经济效益指标，项目建成促进了村集体经济发展和农民增收；五是满意度指标，项目建设得到了群众认可，维护了农村社会稳定。</w:t>
      </w:r>
    </w:p>
    <w:p>
      <w:pPr>
        <w:spacing w:line="500" w:lineRule="exact"/>
        <w:ind w:firstLine="640" w:firstLineChars="200"/>
        <w:rPr>
          <w:rFonts w:hint="eastAsia"/>
          <w:color w:val="000000"/>
          <w:lang w:val="en-US" w:eastAsia="zh-CN"/>
        </w:rPr>
      </w:pPr>
    </w:p>
    <w:p>
      <w:pPr>
        <w:widowControl/>
        <w:spacing w:line="500" w:lineRule="exact"/>
        <w:ind w:firstLine="620" w:firstLineChars="200"/>
        <w:jc w:val="left"/>
        <w:rPr>
          <w:color w:val="000000"/>
        </w:rPr>
      </w:pPr>
      <w:r>
        <w:rPr>
          <w:color w:val="000000"/>
          <w:kern w:val="0"/>
          <w:sz w:val="31"/>
          <w:szCs w:val="31"/>
          <w:lang w:bidi="ar"/>
        </w:rPr>
        <w:t>《202</w:t>
      </w:r>
      <w:r>
        <w:rPr>
          <w:rFonts w:hint="eastAsia"/>
          <w:color w:val="000000"/>
          <w:kern w:val="0"/>
          <w:sz w:val="31"/>
          <w:szCs w:val="31"/>
          <w:lang w:val="en-US" w:eastAsia="zh-CN" w:bidi="ar"/>
        </w:rPr>
        <w:t>4</w:t>
      </w:r>
      <w:r>
        <w:rPr>
          <w:color w:val="000000"/>
          <w:kern w:val="0"/>
          <w:sz w:val="31"/>
          <w:szCs w:val="31"/>
          <w:lang w:bidi="ar"/>
        </w:rPr>
        <w:t>年度</w:t>
      </w:r>
      <w:r>
        <w:rPr>
          <w:rFonts w:hint="eastAsia"/>
          <w:color w:val="000000"/>
          <w:kern w:val="0"/>
          <w:sz w:val="31"/>
          <w:szCs w:val="31"/>
          <w:lang w:val="en-US" w:eastAsia="zh-CN" w:bidi="ar"/>
        </w:rPr>
        <w:t>九宫山</w:t>
      </w:r>
      <w:r>
        <w:rPr>
          <w:color w:val="000000"/>
          <w:kern w:val="0"/>
          <w:sz w:val="31"/>
          <w:szCs w:val="31"/>
          <w:lang w:bidi="ar"/>
        </w:rPr>
        <w:t>镇财政所</w:t>
      </w:r>
      <w:r>
        <w:rPr>
          <w:color w:val="000000"/>
        </w:rPr>
        <w:t>项目</w:t>
      </w:r>
      <w:r>
        <w:rPr>
          <w:color w:val="000000"/>
          <w:kern w:val="0"/>
          <w:sz w:val="31"/>
          <w:szCs w:val="31"/>
          <w:lang w:bidi="ar"/>
        </w:rPr>
        <w:t>绩效自评报告》及《202</w:t>
      </w:r>
      <w:r>
        <w:rPr>
          <w:rFonts w:hint="eastAsia"/>
          <w:color w:val="000000"/>
          <w:kern w:val="0"/>
          <w:sz w:val="31"/>
          <w:szCs w:val="31"/>
          <w:lang w:val="en-US" w:eastAsia="zh-CN" w:bidi="ar"/>
        </w:rPr>
        <w:t>4</w:t>
      </w:r>
      <w:r>
        <w:rPr>
          <w:color w:val="000000"/>
          <w:kern w:val="0"/>
          <w:sz w:val="31"/>
          <w:szCs w:val="31"/>
          <w:lang w:bidi="ar"/>
        </w:rPr>
        <w:t>年度</w:t>
      </w:r>
      <w:r>
        <w:rPr>
          <w:rFonts w:hint="eastAsia"/>
          <w:color w:val="000000"/>
          <w:kern w:val="0"/>
          <w:sz w:val="31"/>
          <w:szCs w:val="31"/>
          <w:lang w:val="en-US" w:eastAsia="zh-CN" w:bidi="ar"/>
        </w:rPr>
        <w:t>九宫山</w:t>
      </w:r>
      <w:r>
        <w:rPr>
          <w:color w:val="000000"/>
          <w:kern w:val="0"/>
          <w:sz w:val="31"/>
          <w:szCs w:val="31"/>
          <w:lang w:bidi="ar"/>
        </w:rPr>
        <w:t>镇财政所项目自评表》详见附件2。</w:t>
      </w:r>
    </w:p>
    <w:p>
      <w:pPr>
        <w:spacing w:line="500" w:lineRule="exact"/>
        <w:ind w:firstLine="640"/>
        <w:rPr>
          <w:rFonts w:eastAsia="楷体_GB2312"/>
          <w:bCs/>
          <w:color w:val="000000"/>
          <w:szCs w:val="32"/>
        </w:rPr>
      </w:pPr>
      <w:r>
        <w:rPr>
          <w:rFonts w:eastAsia="楷体_GB2312"/>
          <w:color w:val="000000"/>
          <w:szCs w:val="32"/>
        </w:rPr>
        <w:t>（三）</w:t>
      </w:r>
      <w:r>
        <w:rPr>
          <w:rFonts w:eastAsia="楷体_GB2312"/>
          <w:bCs/>
          <w:color w:val="000000"/>
          <w:szCs w:val="32"/>
        </w:rPr>
        <w:t>绩效评价结果应用情况。</w:t>
      </w:r>
    </w:p>
    <w:p>
      <w:pPr>
        <w:spacing w:line="500" w:lineRule="exact"/>
        <w:ind w:firstLine="640" w:firstLineChars="200"/>
        <w:rPr>
          <w:color w:val="000000"/>
        </w:rPr>
      </w:pPr>
      <w:r>
        <w:rPr>
          <w:color w:val="000000"/>
        </w:rPr>
        <w:t>部门绩效评价结果应用情况。202</w:t>
      </w:r>
      <w:r>
        <w:rPr>
          <w:rFonts w:hint="eastAsia"/>
          <w:color w:val="000000"/>
          <w:lang w:val="en-US" w:eastAsia="zh-CN"/>
        </w:rPr>
        <w:t>4</w:t>
      </w:r>
      <w:r>
        <w:rPr>
          <w:color w:val="000000"/>
        </w:rPr>
        <w:t>年项目建设</w:t>
      </w:r>
      <w:r>
        <w:rPr>
          <w:rFonts w:hint="eastAsia"/>
          <w:color w:val="000000"/>
          <w:lang w:val="en-US" w:eastAsia="zh-CN"/>
        </w:rPr>
        <w:t>后</w:t>
      </w:r>
      <w:r>
        <w:rPr>
          <w:color w:val="000000"/>
        </w:rPr>
        <w:t>，我单位加强项目规划、绩效目标管理、完善项目分配办法和管理办法、加强项目管理、结果与预算安排相结合等相关绩效评价工作。</w:t>
      </w:r>
    </w:p>
    <w:p>
      <w:pPr>
        <w:spacing w:line="560" w:lineRule="exact"/>
        <w:ind w:firstLine="643" w:firstLineChars="200"/>
        <w:jc w:val="both"/>
        <w:rPr>
          <w:rFonts w:hint="eastAsia" w:ascii="仿宋_GB2312" w:hAnsi="仿宋" w:eastAsia="仿宋_GB2312" w:cs="仿宋"/>
          <w:sz w:val="32"/>
          <w:szCs w:val="32"/>
          <w:lang w:val="en-US" w:eastAsia="zh-CN"/>
        </w:rPr>
      </w:pPr>
      <w:r>
        <w:rPr>
          <w:rFonts w:hint="eastAsia" w:ascii="楷体_GB2312" w:hAnsi="楷体_GB2312" w:eastAsia="楷体_GB2312" w:cs="楷体_GB2312"/>
          <w:b/>
          <w:bCs/>
          <w:sz w:val="32"/>
          <w:szCs w:val="32"/>
          <w:lang w:val="en-US" w:eastAsia="zh-CN"/>
        </w:rPr>
        <w:t>十四、财政专项支出、专项转移支付支出的部门（单位）参照部门预算公开的范围、体例和内容进行公开。</w:t>
      </w:r>
    </w:p>
    <w:p>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其他需要说明的情况</w:t>
      </w:r>
    </w:p>
    <w:p>
      <w:pPr>
        <w:spacing w:line="560" w:lineRule="exact"/>
        <w:jc w:val="center"/>
        <w:rPr>
          <w:rFonts w:hint="eastAsia" w:ascii="黑体" w:eastAsia="黑体"/>
          <w:color w:val="000000"/>
          <w:sz w:val="36"/>
          <w:szCs w:val="36"/>
        </w:rPr>
      </w:pPr>
      <w:r>
        <w:rPr>
          <w:rFonts w:hint="eastAsia" w:ascii="黑体" w:eastAsia="黑体"/>
          <w:color w:val="000000"/>
          <w:sz w:val="36"/>
          <w:szCs w:val="36"/>
          <w:lang w:val="en-US" w:eastAsia="zh-CN"/>
        </w:rPr>
        <w:t xml:space="preserve">   </w:t>
      </w:r>
      <w:r>
        <w:rPr>
          <w:rFonts w:hint="eastAsia" w:ascii="黑体" w:eastAsia="黑体"/>
          <w:color w:val="000000"/>
          <w:sz w:val="36"/>
          <w:szCs w:val="36"/>
        </w:rPr>
        <w:t>九宫山镇财政所20</w:t>
      </w:r>
      <w:r>
        <w:rPr>
          <w:rFonts w:hint="eastAsia" w:ascii="黑体" w:eastAsia="黑体"/>
          <w:color w:val="000000"/>
          <w:sz w:val="36"/>
          <w:szCs w:val="36"/>
          <w:lang w:val="en-US" w:eastAsia="zh-CN"/>
        </w:rPr>
        <w:t>24</w:t>
      </w:r>
      <w:r>
        <w:rPr>
          <w:rFonts w:hint="eastAsia" w:ascii="黑体" w:eastAsia="黑体"/>
          <w:color w:val="000000"/>
          <w:sz w:val="36"/>
          <w:szCs w:val="36"/>
        </w:rPr>
        <w:t>年工作总结及202</w:t>
      </w:r>
      <w:r>
        <w:rPr>
          <w:rFonts w:hint="eastAsia" w:ascii="黑体" w:eastAsia="黑体"/>
          <w:color w:val="000000"/>
          <w:sz w:val="36"/>
          <w:szCs w:val="36"/>
          <w:lang w:val="en-US" w:eastAsia="zh-CN"/>
        </w:rPr>
        <w:t>5</w:t>
      </w:r>
      <w:r>
        <w:rPr>
          <w:rFonts w:hint="eastAsia" w:ascii="黑体" w:eastAsia="黑体"/>
          <w:color w:val="000000"/>
          <w:sz w:val="36"/>
          <w:szCs w:val="36"/>
        </w:rPr>
        <w:t>年</w:t>
      </w:r>
    </w:p>
    <w:p>
      <w:pPr>
        <w:spacing w:line="560" w:lineRule="exact"/>
        <w:jc w:val="center"/>
        <w:rPr>
          <w:rFonts w:hint="eastAsia" w:ascii="黑体" w:eastAsia="黑体"/>
          <w:color w:val="000000"/>
          <w:sz w:val="36"/>
          <w:szCs w:val="36"/>
        </w:rPr>
      </w:pPr>
      <w:r>
        <w:rPr>
          <w:rFonts w:hint="eastAsia" w:ascii="黑体" w:eastAsia="黑体"/>
          <w:color w:val="000000"/>
          <w:sz w:val="36"/>
          <w:szCs w:val="36"/>
        </w:rPr>
        <w:t>工作计划</w:t>
      </w:r>
    </w:p>
    <w:p>
      <w:pPr>
        <w:spacing w:line="560" w:lineRule="exact"/>
        <w:ind w:firstLine="630" w:firstLineChars="196"/>
        <w:rPr>
          <w:rFonts w:hint="eastAsia" w:ascii="仿宋_GB2312" w:eastAsia="仿宋_GB2312"/>
          <w:b/>
          <w:color w:val="000000"/>
          <w:sz w:val="32"/>
          <w:szCs w:val="32"/>
        </w:rPr>
      </w:pPr>
      <w:r>
        <w:rPr>
          <w:rFonts w:hint="eastAsia" w:ascii="仿宋_GB2312" w:eastAsia="仿宋_GB2312"/>
          <w:b/>
          <w:color w:val="000000"/>
          <w:sz w:val="32"/>
          <w:szCs w:val="32"/>
        </w:rPr>
        <w:t>一、20</w:t>
      </w:r>
      <w:r>
        <w:rPr>
          <w:rFonts w:hint="eastAsia" w:ascii="仿宋_GB2312" w:eastAsia="仿宋_GB2312"/>
          <w:b/>
          <w:color w:val="000000"/>
          <w:sz w:val="32"/>
          <w:szCs w:val="32"/>
          <w:lang w:val="en-US" w:eastAsia="zh-CN"/>
        </w:rPr>
        <w:t>24</w:t>
      </w:r>
      <w:r>
        <w:rPr>
          <w:rFonts w:hint="eastAsia" w:ascii="仿宋_GB2312" w:eastAsia="仿宋_GB2312"/>
          <w:b/>
          <w:color w:val="000000"/>
          <w:sz w:val="32"/>
          <w:szCs w:val="32"/>
        </w:rPr>
        <w:t>年工作总结</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年九宫山镇财政所在镇党委、政府的正确领导下，在县财政局的关心支持下，认真贯彻党的</w:t>
      </w:r>
      <w:r>
        <w:rPr>
          <w:rFonts w:hint="eastAsia" w:ascii="仿宋_GB2312" w:eastAsia="仿宋_GB2312"/>
          <w:color w:val="000000"/>
          <w:sz w:val="32"/>
          <w:szCs w:val="32"/>
          <w:lang w:val="en-US" w:eastAsia="zh-CN"/>
        </w:rPr>
        <w:t>二十大、二十届一中、二中、三中全会精神，</w:t>
      </w:r>
      <w:r>
        <w:rPr>
          <w:rFonts w:ascii="仿宋_GB2312" w:eastAsia="仿宋_GB2312"/>
          <w:color w:val="000000"/>
          <w:sz w:val="32"/>
          <w:szCs w:val="32"/>
        </w:rPr>
        <w:t>紧紧围绕</w:t>
      </w:r>
      <w:r>
        <w:rPr>
          <w:rFonts w:hint="eastAsia" w:ascii="仿宋_GB2312" w:eastAsia="仿宋_GB2312"/>
          <w:color w:val="000000"/>
          <w:sz w:val="32"/>
          <w:szCs w:val="32"/>
        </w:rPr>
        <w:t>新时代</w:t>
      </w:r>
      <w:r>
        <w:rPr>
          <w:rFonts w:ascii="仿宋_GB2312" w:eastAsia="仿宋_GB2312"/>
          <w:color w:val="000000"/>
          <w:sz w:val="32"/>
          <w:szCs w:val="32"/>
        </w:rPr>
        <w:t>财政工作要点和党委、政府的中心</w:t>
      </w:r>
      <w:r>
        <w:rPr>
          <w:rFonts w:hint="eastAsia" w:ascii="仿宋_GB2312" w:eastAsia="仿宋_GB2312"/>
          <w:color w:val="000000"/>
          <w:sz w:val="32"/>
          <w:szCs w:val="32"/>
        </w:rPr>
        <w:t>任务</w:t>
      </w:r>
      <w:r>
        <w:rPr>
          <w:rFonts w:ascii="仿宋_GB2312" w:eastAsia="仿宋_GB2312"/>
          <w:color w:val="000000"/>
          <w:sz w:val="32"/>
          <w:szCs w:val="32"/>
        </w:rPr>
        <w:t>，以群众满意为宗旨</w:t>
      </w:r>
      <w:r>
        <w:rPr>
          <w:rFonts w:hint="eastAsia" w:ascii="仿宋_GB2312" w:eastAsia="仿宋_GB2312"/>
          <w:color w:val="000000"/>
          <w:sz w:val="32"/>
          <w:szCs w:val="32"/>
        </w:rPr>
        <w:t>，强化资金管理，做好增收节支，不断改进工作作风，积极推进部门预算，合理调度资金，切实履行财政职责，确保了我镇财政管理工作有效开展。全面完成了党建、财政业务等各项工作任务,取得了较好成绩。现就全年工作总结如下：</w:t>
      </w:r>
    </w:p>
    <w:p>
      <w:pPr>
        <w:spacing w:line="560" w:lineRule="exact"/>
        <w:ind w:firstLine="643" w:firstLineChars="200"/>
        <w:rPr>
          <w:rFonts w:hint="default" w:ascii="楷体_GB2312" w:eastAsia="楷体_GB2312"/>
          <w:b/>
          <w:color w:val="auto"/>
          <w:sz w:val="32"/>
          <w:szCs w:val="32"/>
          <w:lang w:val="en-US" w:eastAsia="zh-CN"/>
        </w:rPr>
      </w:pPr>
      <w:r>
        <w:rPr>
          <w:rFonts w:hint="eastAsia" w:ascii="楷体_GB2312" w:eastAsia="楷体_GB2312"/>
          <w:b/>
          <w:color w:val="auto"/>
          <w:sz w:val="32"/>
          <w:szCs w:val="32"/>
        </w:rPr>
        <w:t>（一）</w:t>
      </w:r>
      <w:r>
        <w:rPr>
          <w:rFonts w:hint="eastAsia" w:ascii="楷体_GB2312" w:eastAsia="楷体_GB2312"/>
          <w:b/>
          <w:color w:val="auto"/>
          <w:sz w:val="32"/>
          <w:szCs w:val="32"/>
          <w:lang w:val="en-US" w:eastAsia="zh-CN"/>
        </w:rPr>
        <w:t>以党建为引领，加强支部建设</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深入推进基层党建工作。</w:t>
      </w:r>
      <w:r>
        <w:rPr>
          <w:rFonts w:ascii="仿宋_GB2312" w:eastAsia="仿宋_GB2312"/>
          <w:color w:val="auto"/>
          <w:sz w:val="32"/>
          <w:szCs w:val="32"/>
        </w:rPr>
        <w:t>一是成立党建专班，建立健全相关制度，完善工作台账；二是不断加强党员培训和管理，</w:t>
      </w:r>
      <w:r>
        <w:rPr>
          <w:rFonts w:hint="eastAsia" w:ascii="仿宋_GB2312" w:eastAsia="仿宋_GB2312"/>
          <w:color w:val="auto"/>
          <w:sz w:val="32"/>
          <w:szCs w:val="32"/>
          <w:lang w:val="en-US" w:eastAsia="zh-CN"/>
        </w:rPr>
        <w:t>继续</w:t>
      </w:r>
      <w:r>
        <w:rPr>
          <w:rFonts w:hint="eastAsia" w:ascii="仿宋_GB2312" w:eastAsia="仿宋_GB2312"/>
          <w:color w:val="auto"/>
          <w:sz w:val="32"/>
          <w:szCs w:val="32"/>
        </w:rPr>
        <w:t>开展“</w:t>
      </w:r>
      <w:r>
        <w:rPr>
          <w:rFonts w:hint="eastAsia" w:ascii="仿宋_GB2312" w:hAnsi="仿宋_GB2312" w:eastAsia="仿宋_GB2312" w:cs="仿宋_GB2312"/>
          <w:sz w:val="32"/>
          <w:szCs w:val="32"/>
        </w:rPr>
        <w:t>学习贯彻习近平新时代中国特色社会主义思想主题教育</w:t>
      </w:r>
      <w:r>
        <w:rPr>
          <w:rFonts w:hint="eastAsia" w:ascii="仿宋_GB2312" w:eastAsia="仿宋_GB2312"/>
          <w:color w:val="auto"/>
          <w:sz w:val="32"/>
          <w:szCs w:val="32"/>
        </w:rPr>
        <w:t>”活动，按照活动要求</w:t>
      </w:r>
      <w:r>
        <w:rPr>
          <w:rFonts w:ascii="仿宋_GB2312" w:eastAsia="仿宋_GB2312"/>
          <w:color w:val="auto"/>
          <w:sz w:val="32"/>
          <w:szCs w:val="32"/>
        </w:rPr>
        <w:t>及时组织党员干部</w:t>
      </w:r>
      <w:r>
        <w:rPr>
          <w:rFonts w:hint="eastAsia" w:ascii="仿宋_GB2312" w:eastAsia="仿宋_GB2312"/>
          <w:color w:val="auto"/>
          <w:sz w:val="32"/>
          <w:szCs w:val="32"/>
        </w:rPr>
        <w:t>原原本本</w:t>
      </w:r>
      <w:r>
        <w:rPr>
          <w:rFonts w:ascii="仿宋_GB2312" w:eastAsia="仿宋_GB2312"/>
          <w:color w:val="auto"/>
          <w:sz w:val="32"/>
          <w:szCs w:val="32"/>
        </w:rPr>
        <w:t>学习</w:t>
      </w:r>
      <w:r>
        <w:rPr>
          <w:rFonts w:hint="eastAsia" w:ascii="仿宋_GB2312" w:hAnsi="仿宋_GB2312" w:eastAsia="仿宋_GB2312" w:cs="仿宋_GB2312"/>
          <w:sz w:val="32"/>
          <w:szCs w:val="32"/>
        </w:rPr>
        <w:t>党的二十大报告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《中国共产党章程》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《习近平著作选读》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《习近平新时代中国特色社会主义思想专题摘编》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《习近平新时代中国特色社会主义思想学习纲要》、习近平总书记《论党的自我革命》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《习近平新时代中国特色社会主义思想的世界观和方法论专题摘编》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《习近平关于调查研究论述摘编》</w:t>
      </w:r>
      <w:r>
        <w:rPr>
          <w:rFonts w:hint="eastAsia" w:ascii="仿宋_GB2312" w:hAnsi="仿宋_GB2312" w:eastAsia="仿宋_GB2312" w:cs="仿宋_GB2312"/>
          <w:sz w:val="32"/>
          <w:szCs w:val="32"/>
          <w:lang w:eastAsia="zh-CN"/>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论中国共产党历史</w:t>
      </w:r>
      <w:r>
        <w:rPr>
          <w:rFonts w:hint="eastAsia" w:ascii="仿宋_GB2312" w:eastAsia="仿宋_GB2312"/>
          <w:color w:val="auto"/>
          <w:sz w:val="32"/>
          <w:szCs w:val="32"/>
          <w:lang w:eastAsia="zh-CN"/>
        </w:rPr>
        <w:t>》</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毛泽东、邓小平、江泽民、胡锦涛关于中国共产党历史</w:t>
      </w:r>
      <w:r>
        <w:rPr>
          <w:rFonts w:hint="eastAsia" w:ascii="仿宋_GB2312" w:eastAsia="仿宋_GB2312"/>
          <w:color w:val="auto"/>
          <w:sz w:val="32"/>
          <w:szCs w:val="32"/>
        </w:rPr>
        <w:t>论述摘编》、《习近平新时代中国特色社会主义思想学习</w:t>
      </w:r>
      <w:r>
        <w:rPr>
          <w:rFonts w:hint="eastAsia" w:ascii="仿宋_GB2312" w:eastAsia="仿宋_GB2312"/>
          <w:color w:val="auto"/>
          <w:sz w:val="32"/>
          <w:szCs w:val="32"/>
          <w:lang w:val="en-US" w:eastAsia="zh-CN"/>
        </w:rPr>
        <w:t>问答</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中国共产党简史</w:t>
      </w:r>
      <w:r>
        <w:rPr>
          <w:rFonts w:hint="eastAsia" w:ascii="仿宋_GB2312" w:eastAsia="仿宋_GB2312"/>
          <w:color w:val="auto"/>
          <w:sz w:val="32"/>
          <w:szCs w:val="32"/>
        </w:rPr>
        <w:t>》和</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党章</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及二十大一中、二中、三中</w:t>
      </w:r>
      <w:r>
        <w:rPr>
          <w:rFonts w:hint="eastAsia" w:ascii="仿宋_GB2312" w:eastAsia="仿宋_GB2312"/>
          <w:color w:val="auto"/>
          <w:sz w:val="32"/>
          <w:szCs w:val="32"/>
        </w:rPr>
        <w:t>全会</w:t>
      </w:r>
      <w:r>
        <w:rPr>
          <w:rFonts w:ascii="仿宋_GB2312" w:eastAsia="仿宋_GB2312"/>
          <w:color w:val="auto"/>
          <w:sz w:val="32"/>
          <w:szCs w:val="32"/>
        </w:rPr>
        <w:t>精神</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组织党员观看视频</w:t>
      </w:r>
      <w:r>
        <w:rPr>
          <w:rFonts w:ascii="仿宋_GB2312" w:eastAsia="仿宋_GB2312"/>
          <w:color w:val="auto"/>
          <w:sz w:val="32"/>
          <w:szCs w:val="32"/>
        </w:rPr>
        <w:t>；三是结合</w:t>
      </w:r>
      <w:r>
        <w:rPr>
          <w:rFonts w:hint="eastAsia" w:ascii="仿宋_GB2312" w:eastAsia="仿宋_GB2312"/>
          <w:color w:val="auto"/>
          <w:sz w:val="32"/>
          <w:szCs w:val="32"/>
        </w:rPr>
        <w:t>“</w:t>
      </w:r>
      <w:r>
        <w:rPr>
          <w:rFonts w:hint="eastAsia" w:ascii="仿宋_GB2312" w:hAnsi="仿宋_GB2312" w:eastAsia="仿宋_GB2312" w:cs="仿宋_GB2312"/>
          <w:sz w:val="32"/>
          <w:szCs w:val="32"/>
        </w:rPr>
        <w:t>学习贯彻习近平新时代中国特色社会主义思想主题教育</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活动</w:t>
      </w:r>
      <w:r>
        <w:rPr>
          <w:rFonts w:ascii="仿宋_GB2312" w:eastAsia="仿宋_GB2312"/>
          <w:color w:val="auto"/>
          <w:sz w:val="32"/>
          <w:szCs w:val="32"/>
        </w:rPr>
        <w:t>和“主题党日”</w:t>
      </w:r>
      <w:r>
        <w:rPr>
          <w:rFonts w:hint="eastAsia" w:ascii="仿宋_GB2312" w:eastAsia="仿宋_GB2312"/>
          <w:color w:val="auto"/>
          <w:sz w:val="32"/>
          <w:szCs w:val="32"/>
        </w:rPr>
        <w:t>安排</w:t>
      </w:r>
      <w:r>
        <w:rPr>
          <w:rFonts w:ascii="仿宋_GB2312" w:eastAsia="仿宋_GB2312"/>
          <w:color w:val="auto"/>
          <w:sz w:val="32"/>
          <w:szCs w:val="32"/>
        </w:rPr>
        <w:t>，持续开展“三会一课”活动，突出党建主题和目标任务。</w:t>
      </w:r>
    </w:p>
    <w:p>
      <w:pPr>
        <w:spacing w:line="560" w:lineRule="exact"/>
        <w:ind w:firstLine="643" w:firstLineChars="200"/>
        <w:rPr>
          <w:rFonts w:hint="eastAsia" w:ascii="楷体_GB2312" w:eastAsia="楷体_GB2312"/>
          <w:b/>
          <w:color w:val="auto"/>
          <w:sz w:val="32"/>
          <w:szCs w:val="32"/>
        </w:rPr>
      </w:pPr>
      <w:r>
        <w:rPr>
          <w:rFonts w:hint="eastAsia" w:ascii="楷体_GB2312" w:eastAsia="楷体_GB2312"/>
          <w:b/>
          <w:color w:val="auto"/>
          <w:sz w:val="32"/>
          <w:szCs w:val="32"/>
        </w:rPr>
        <w:t>（二）</w:t>
      </w:r>
      <w:r>
        <w:rPr>
          <w:rFonts w:hint="eastAsia" w:ascii="楷体_GB2312" w:eastAsia="楷体_GB2312"/>
          <w:b/>
          <w:color w:val="auto"/>
          <w:sz w:val="32"/>
          <w:szCs w:val="32"/>
          <w:lang w:val="en-US" w:eastAsia="zh-CN"/>
        </w:rPr>
        <w:t>以</w:t>
      </w:r>
      <w:r>
        <w:rPr>
          <w:rFonts w:hint="eastAsia" w:ascii="楷体_GB2312" w:eastAsia="楷体_GB2312"/>
          <w:b/>
          <w:color w:val="auto"/>
          <w:sz w:val="32"/>
          <w:szCs w:val="32"/>
        </w:rPr>
        <w:t>管理</w:t>
      </w:r>
      <w:r>
        <w:rPr>
          <w:rFonts w:hint="eastAsia" w:ascii="楷体_GB2312" w:eastAsia="楷体_GB2312"/>
          <w:b/>
          <w:color w:val="auto"/>
          <w:sz w:val="32"/>
          <w:szCs w:val="32"/>
          <w:lang w:val="en-US" w:eastAsia="zh-CN"/>
        </w:rPr>
        <w:t>为突破口</w:t>
      </w:r>
      <w:r>
        <w:rPr>
          <w:rFonts w:hint="eastAsia" w:ascii="楷体_GB2312" w:eastAsia="楷体_GB2312"/>
          <w:b/>
          <w:color w:val="auto"/>
          <w:sz w:val="32"/>
          <w:szCs w:val="32"/>
        </w:rPr>
        <w:t>、</w:t>
      </w:r>
      <w:r>
        <w:rPr>
          <w:rFonts w:hint="eastAsia" w:ascii="楷体_GB2312" w:eastAsia="楷体_GB2312"/>
          <w:b/>
          <w:color w:val="auto"/>
          <w:sz w:val="32"/>
          <w:szCs w:val="32"/>
          <w:lang w:val="en-US" w:eastAsia="zh-CN"/>
        </w:rPr>
        <w:t>加强</w:t>
      </w:r>
      <w:r>
        <w:rPr>
          <w:rFonts w:hint="eastAsia" w:ascii="楷体_GB2312" w:eastAsia="楷体_GB2312"/>
          <w:b/>
          <w:color w:val="auto"/>
          <w:sz w:val="32"/>
          <w:szCs w:val="32"/>
        </w:rPr>
        <w:t>依法理财。</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努力做好财政预算的编制、公开和监督，对接财政局各业务股室的日常任务，高标准完成业务工作</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预算一体化系统投入使用后，预算会计认真进行业务学习，确保单位新系统的正常运转</w:t>
      </w:r>
      <w:r>
        <w:rPr>
          <w:rFonts w:hint="eastAsia" w:ascii="仿宋_GB2312" w:eastAsia="仿宋_GB2312"/>
          <w:color w:val="auto"/>
          <w:sz w:val="32"/>
          <w:szCs w:val="32"/>
        </w:rPr>
        <w:t>。同时严格按照会计基础工作的要求，规范核算，逐级审批，统一审核和复核，并实行日常复核和定期检查相结合，做到支出内容合法化，业务操作程序化。不断调整优化支出结构，增收节支，每月及时发放工资，上交社保，切实保障了干部职工的合法权益。坚决贯彻中央八项规定，压缩各种会议费、招待费等非生产性成本，明显减少“三公”经费，保证工作正常运转。加大对各种专项资金支持力度，做到专款专用。加强财政</w:t>
      </w:r>
      <w:r>
        <w:rPr>
          <w:rFonts w:hint="eastAsia" w:ascii="仿宋_GB2312" w:eastAsia="仿宋_GB2312"/>
          <w:color w:val="auto"/>
          <w:sz w:val="32"/>
          <w:szCs w:val="32"/>
          <w:lang w:val="en-US" w:eastAsia="zh-CN"/>
        </w:rPr>
        <w:t>所管理的村级集体经济组织电子收据的</w:t>
      </w:r>
      <w:r>
        <w:rPr>
          <w:rFonts w:hint="eastAsia" w:ascii="仿宋_GB2312" w:eastAsia="仿宋_GB2312"/>
          <w:color w:val="auto"/>
          <w:sz w:val="32"/>
          <w:szCs w:val="32"/>
        </w:rPr>
        <w:t xml:space="preserve">管理，做到按时开票及时进账，统一核销。 </w:t>
      </w:r>
    </w:p>
    <w:p>
      <w:pPr>
        <w:spacing w:line="560" w:lineRule="exact"/>
        <w:ind w:firstLine="643" w:firstLineChars="200"/>
        <w:rPr>
          <w:rFonts w:ascii="楷体_GB2312" w:eastAsia="楷体_GB2312"/>
          <w:b/>
          <w:color w:val="auto"/>
          <w:sz w:val="32"/>
          <w:szCs w:val="32"/>
        </w:rPr>
      </w:pPr>
      <w:r>
        <w:rPr>
          <w:rFonts w:hint="eastAsia" w:ascii="楷体_GB2312" w:eastAsia="楷体_GB2312"/>
          <w:b/>
          <w:color w:val="auto"/>
          <w:sz w:val="32"/>
          <w:szCs w:val="32"/>
        </w:rPr>
        <w:t>（三）</w:t>
      </w:r>
      <w:r>
        <w:rPr>
          <w:rFonts w:hint="eastAsia" w:ascii="楷体_GB2312" w:eastAsia="楷体_GB2312"/>
          <w:b/>
          <w:color w:val="auto"/>
          <w:sz w:val="32"/>
          <w:szCs w:val="32"/>
          <w:lang w:val="en-US" w:eastAsia="zh-CN"/>
        </w:rPr>
        <w:t>以政策为依据</w:t>
      </w:r>
      <w:r>
        <w:rPr>
          <w:rFonts w:hint="eastAsia" w:ascii="楷体_GB2312" w:eastAsia="楷体_GB2312"/>
          <w:b/>
          <w:color w:val="auto"/>
          <w:sz w:val="32"/>
          <w:szCs w:val="32"/>
        </w:rPr>
        <w:t>，</w:t>
      </w:r>
      <w:r>
        <w:rPr>
          <w:rFonts w:hint="eastAsia" w:ascii="楷体_GB2312" w:eastAsia="楷体_GB2312"/>
          <w:b/>
          <w:color w:val="auto"/>
          <w:sz w:val="32"/>
          <w:szCs w:val="32"/>
          <w:lang w:val="en-US" w:eastAsia="zh-CN"/>
        </w:rPr>
        <w:t>加强为民服务</w:t>
      </w:r>
      <w:r>
        <w:rPr>
          <w:rFonts w:hint="eastAsia" w:ascii="楷体_GB2312" w:eastAsia="楷体_GB2312"/>
          <w:b/>
          <w:color w:val="auto"/>
          <w:sz w:val="32"/>
          <w:szCs w:val="32"/>
        </w:rPr>
        <w:t>。</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auto"/>
          <w:sz w:val="32"/>
          <w:szCs w:val="32"/>
        </w:rPr>
        <w:t>深入开展惠农惠民工作，落实国家各项惠农政策，我们牢记使命，认真履责，面向群众，贴心服务，确保工作不懈怠，无差错，赢得农民群众的一致好评。一是加强惠农政策宣传，</w:t>
      </w:r>
      <w:r>
        <w:rPr>
          <w:rFonts w:hint="eastAsia" w:ascii="仿宋_GB2312" w:eastAsia="仿宋_GB2312"/>
          <w:color w:val="auto"/>
          <w:sz w:val="32"/>
          <w:szCs w:val="32"/>
          <w:lang w:val="en-US" w:eastAsia="zh-CN"/>
        </w:rPr>
        <w:t>多次下村进行政策宣讲，</w:t>
      </w:r>
      <w:r>
        <w:rPr>
          <w:rFonts w:hint="eastAsia" w:ascii="仿宋_GB2312" w:hAnsi="Calibri" w:eastAsia="仿宋_GB2312" w:cs="Times New Roman"/>
          <w:color w:val="auto"/>
          <w:sz w:val="32"/>
          <w:szCs w:val="32"/>
        </w:rPr>
        <w:t>深入宣传各项惠农强农政策</w:t>
      </w:r>
      <w:r>
        <w:rPr>
          <w:rFonts w:hint="eastAsia" w:ascii="仿宋_GB2312" w:hAnsi="Calibri" w:eastAsia="仿宋_GB2312" w:cs="Times New Roman"/>
          <w:color w:val="auto"/>
          <w:sz w:val="32"/>
          <w:szCs w:val="32"/>
          <w:lang w:eastAsia="zh-CN"/>
        </w:rPr>
        <w:t>，</w:t>
      </w:r>
      <w:r>
        <w:rPr>
          <w:rFonts w:hint="eastAsia" w:ascii="仿宋_GB2312" w:eastAsia="仿宋_GB2312"/>
          <w:color w:val="auto"/>
          <w:sz w:val="32"/>
          <w:szCs w:val="32"/>
          <w:lang w:val="en-US" w:eastAsia="zh-CN"/>
        </w:rPr>
        <w:t>使老百姓心里清楚所享受的政策和条件；</w:t>
      </w:r>
      <w:r>
        <w:rPr>
          <w:rFonts w:hint="eastAsia" w:ascii="仿宋_GB2312" w:eastAsia="仿宋_GB2312"/>
          <w:color w:val="000000"/>
          <w:sz w:val="32"/>
          <w:szCs w:val="32"/>
        </w:rPr>
        <w:t>二是精准发放各类惠农补贴，</w:t>
      </w:r>
      <w:r>
        <w:rPr>
          <w:rFonts w:hint="eastAsia" w:ascii="仿宋_GB2312" w:hAnsi="Calibri" w:eastAsia="仿宋_GB2312" w:cs="Times New Roman"/>
          <w:color w:val="000000"/>
          <w:sz w:val="32"/>
          <w:szCs w:val="32"/>
        </w:rPr>
        <w:t>核实全镇耕地地力保护补贴</w:t>
      </w:r>
      <w:r>
        <w:rPr>
          <w:rFonts w:hint="eastAsia" w:ascii="仿宋_GB2312" w:hAnsi="Calibri" w:eastAsia="仿宋_GB2312" w:cs="Times New Roman"/>
          <w:color w:val="000000"/>
          <w:sz w:val="32"/>
          <w:szCs w:val="32"/>
          <w:lang w:eastAsia="zh-CN"/>
        </w:rPr>
        <w:t>、稻谷补贴面积，</w:t>
      </w:r>
      <w:r>
        <w:rPr>
          <w:rFonts w:hint="eastAsia" w:ascii="仿宋_GB2312" w:hAnsi="Calibri" w:eastAsia="仿宋_GB2312" w:cs="Times New Roman"/>
          <w:color w:val="000000"/>
          <w:sz w:val="32"/>
          <w:szCs w:val="32"/>
        </w:rPr>
        <w:t>及时发放耕地地力</w:t>
      </w:r>
      <w:r>
        <w:rPr>
          <w:rFonts w:hint="eastAsia" w:ascii="仿宋_GB2312" w:hAnsi="Calibri" w:eastAsia="仿宋_GB2312" w:cs="Times New Roman"/>
          <w:color w:val="000000"/>
          <w:sz w:val="32"/>
          <w:szCs w:val="32"/>
          <w:lang w:eastAsia="zh-CN"/>
        </w:rPr>
        <w:t>保护</w:t>
      </w:r>
      <w:r>
        <w:rPr>
          <w:rFonts w:hint="eastAsia" w:ascii="仿宋_GB2312" w:hAnsi="Calibri" w:eastAsia="仿宋_GB2312" w:cs="Times New Roman"/>
          <w:color w:val="000000"/>
          <w:sz w:val="32"/>
          <w:szCs w:val="32"/>
        </w:rPr>
        <w:t>补贴</w:t>
      </w:r>
      <w:r>
        <w:rPr>
          <w:rFonts w:hint="eastAsia" w:ascii="仿宋_GB2312" w:hAnsi="Calibri" w:eastAsia="仿宋_GB2312" w:cs="Times New Roman"/>
          <w:color w:val="000000"/>
          <w:sz w:val="32"/>
          <w:szCs w:val="32"/>
          <w:lang w:val="en-US" w:eastAsia="zh-CN"/>
        </w:rPr>
        <w:t>7271户，金额235.27</w:t>
      </w:r>
      <w:r>
        <w:rPr>
          <w:rFonts w:hint="eastAsia" w:ascii="仿宋_GB2312" w:hAnsi="Calibri" w:eastAsia="仿宋_GB2312" w:cs="Times New Roman"/>
          <w:color w:val="000000"/>
          <w:sz w:val="32"/>
          <w:szCs w:val="32"/>
        </w:rPr>
        <w:t>元</w:t>
      </w:r>
      <w:r>
        <w:rPr>
          <w:rFonts w:hint="eastAsia" w:ascii="仿宋_GB2312" w:hAnsi="Calibri" w:eastAsia="仿宋_GB2312" w:cs="Times New Roman"/>
          <w:color w:val="000000"/>
          <w:sz w:val="32"/>
          <w:szCs w:val="32"/>
          <w:lang w:eastAsia="zh-CN"/>
        </w:rPr>
        <w:t>、</w:t>
      </w:r>
      <w:r>
        <w:rPr>
          <w:rFonts w:hint="eastAsia" w:ascii="仿宋_GB2312" w:hAnsi="Calibri" w:eastAsia="仿宋_GB2312" w:cs="Times New Roman"/>
          <w:color w:val="000000"/>
          <w:sz w:val="32"/>
          <w:szCs w:val="32"/>
          <w:lang w:val="en-US" w:eastAsia="zh-CN"/>
        </w:rPr>
        <w:t>补贴面积30357.51亩，稻谷</w:t>
      </w:r>
      <w:r>
        <w:rPr>
          <w:rFonts w:hint="eastAsia" w:ascii="仿宋_GB2312" w:hAnsi="Calibri" w:eastAsia="仿宋_GB2312" w:cs="Times New Roman"/>
          <w:color w:val="000000"/>
          <w:sz w:val="32"/>
          <w:szCs w:val="32"/>
          <w:lang w:eastAsia="zh-CN"/>
        </w:rPr>
        <w:t>补贴</w:t>
      </w:r>
      <w:r>
        <w:rPr>
          <w:rFonts w:hint="eastAsia" w:ascii="仿宋_GB2312" w:hAnsi="Calibri" w:eastAsia="仿宋_GB2312" w:cs="Times New Roman"/>
          <w:color w:val="000000"/>
          <w:sz w:val="32"/>
          <w:szCs w:val="32"/>
          <w:lang w:val="en-US" w:eastAsia="zh-CN"/>
        </w:rPr>
        <w:t>3487户，金额40.24万元、补贴面积9150.8亩，通过“一卡通”的方式发放到每一户老百姓手中，</w:t>
      </w:r>
      <w:r>
        <w:rPr>
          <w:rFonts w:hint="eastAsia" w:ascii="仿宋_GB2312" w:hAnsi="Calibri" w:eastAsia="仿宋_GB2312" w:cs="Times New Roman"/>
          <w:color w:val="000000"/>
          <w:sz w:val="32"/>
          <w:szCs w:val="32"/>
        </w:rPr>
        <w:t>做到不漏不错不误，让老百姓真实体会党的政策温暖</w:t>
      </w:r>
      <w:r>
        <w:rPr>
          <w:rFonts w:hint="eastAsia" w:ascii="仿宋_GB2312" w:hAnsi="Calibri" w:eastAsia="仿宋_GB2312" w:cs="Times New Roman"/>
          <w:color w:val="000000"/>
          <w:sz w:val="32"/>
          <w:szCs w:val="32"/>
          <w:lang w:eastAsia="zh-CN"/>
        </w:rPr>
        <w:t>；</w:t>
      </w:r>
      <w:r>
        <w:rPr>
          <w:rFonts w:hint="eastAsia" w:ascii="仿宋_GB2312" w:hAnsi="Calibri" w:eastAsia="仿宋_GB2312" w:cs="Times New Roman"/>
          <w:color w:val="000000"/>
          <w:sz w:val="32"/>
          <w:szCs w:val="32"/>
          <w:lang w:val="en-US" w:eastAsia="zh-CN"/>
        </w:rPr>
        <w:t>三</w:t>
      </w:r>
      <w:r>
        <w:rPr>
          <w:rFonts w:hint="eastAsia" w:ascii="仿宋_GB2312" w:hAnsi="Calibri" w:eastAsia="仿宋_GB2312" w:cs="Times New Roman"/>
          <w:color w:val="000000"/>
          <w:sz w:val="32"/>
          <w:szCs w:val="32"/>
        </w:rPr>
        <w:t>是核实</w:t>
      </w:r>
      <w:r>
        <w:rPr>
          <w:rFonts w:hint="eastAsia" w:ascii="仿宋_GB2312" w:hAnsi="Calibri" w:eastAsia="仿宋_GB2312" w:cs="Times New Roman"/>
          <w:color w:val="000000"/>
          <w:sz w:val="32"/>
          <w:szCs w:val="32"/>
          <w:lang w:val="en-US" w:eastAsia="zh-CN"/>
        </w:rPr>
        <w:t>2023年</w:t>
      </w:r>
      <w:r>
        <w:rPr>
          <w:rFonts w:hint="eastAsia" w:ascii="仿宋_GB2312" w:hAnsi="Calibri" w:eastAsia="仿宋_GB2312" w:cs="Times New Roman"/>
          <w:color w:val="000000"/>
          <w:sz w:val="32"/>
          <w:szCs w:val="32"/>
        </w:rPr>
        <w:t>天保林和公益林补偿资金</w:t>
      </w:r>
      <w:r>
        <w:rPr>
          <w:rFonts w:hint="eastAsia" w:ascii="仿宋_GB2312" w:hAnsi="Calibri" w:eastAsia="仿宋_GB2312" w:cs="Times New Roman"/>
          <w:color w:val="000000"/>
          <w:sz w:val="32"/>
          <w:szCs w:val="32"/>
          <w:lang w:eastAsia="zh-CN"/>
        </w:rPr>
        <w:t>，根据林业验收结果如实分配到村组，</w:t>
      </w:r>
      <w:r>
        <w:rPr>
          <w:rFonts w:hint="eastAsia" w:ascii="仿宋_GB2312" w:hAnsi="Calibri" w:eastAsia="仿宋_GB2312" w:cs="Times New Roman"/>
          <w:color w:val="000000"/>
          <w:sz w:val="32"/>
          <w:szCs w:val="32"/>
        </w:rPr>
        <w:t>严格按县政府文件兑付</w:t>
      </w:r>
      <w:r>
        <w:rPr>
          <w:rFonts w:hint="eastAsia" w:ascii="仿宋_GB2312" w:hAnsi="Calibri" w:eastAsia="仿宋_GB2312" w:cs="Times New Roman"/>
          <w:color w:val="000000"/>
          <w:sz w:val="32"/>
          <w:szCs w:val="32"/>
          <w:lang w:eastAsia="zh-CN"/>
        </w:rPr>
        <w:t>到农户，</w:t>
      </w:r>
      <w:r>
        <w:rPr>
          <w:rFonts w:hint="eastAsia" w:ascii="仿宋_GB2312" w:hAnsi="Calibri" w:eastAsia="仿宋_GB2312" w:cs="Times New Roman"/>
          <w:color w:val="000000"/>
          <w:sz w:val="32"/>
          <w:szCs w:val="32"/>
          <w:lang w:val="en-US" w:eastAsia="zh-CN"/>
        </w:rPr>
        <w:t>10个村</w:t>
      </w:r>
      <w:r>
        <w:rPr>
          <w:rFonts w:hint="eastAsia" w:ascii="仿宋_GB2312" w:hAnsi="Calibri" w:eastAsia="仿宋_GB2312" w:cs="Times New Roman"/>
          <w:color w:val="000000"/>
          <w:sz w:val="32"/>
          <w:szCs w:val="32"/>
          <w:lang w:eastAsia="zh-CN"/>
        </w:rPr>
        <w:t>共兑付公益林补偿资金</w:t>
      </w:r>
      <w:r>
        <w:rPr>
          <w:rFonts w:hint="eastAsia" w:ascii="仿宋_GB2312" w:hAnsi="Calibri" w:eastAsia="仿宋_GB2312" w:cs="Times New Roman"/>
          <w:color w:val="000000"/>
          <w:sz w:val="32"/>
          <w:szCs w:val="32"/>
          <w:lang w:val="en-US" w:eastAsia="zh-CN"/>
        </w:rPr>
        <w:t>72.21元，兑付天保林补偿资金155.05元，</w:t>
      </w:r>
      <w:r>
        <w:rPr>
          <w:rFonts w:hint="eastAsia" w:ascii="仿宋_GB2312" w:eastAsia="仿宋_GB2312"/>
          <w:color w:val="000000"/>
          <w:sz w:val="32"/>
          <w:szCs w:val="32"/>
        </w:rPr>
        <w:t>无一差错，改变了过去那种补偿资金由申报户直接领取的方式，避免了挪用侵占，使人民群众切身利益得到保障。</w:t>
      </w:r>
      <w:r>
        <w:rPr>
          <w:rFonts w:hint="eastAsia" w:ascii="仿宋_GB2312" w:eastAsia="仿宋_GB2312"/>
          <w:color w:val="000000"/>
          <w:sz w:val="32"/>
          <w:szCs w:val="32"/>
          <w:lang w:val="en-US" w:eastAsia="zh-CN"/>
        </w:rPr>
        <w:t>四是</w:t>
      </w:r>
      <w:r>
        <w:rPr>
          <w:rFonts w:hint="eastAsia" w:ascii="仿宋_GB2312" w:eastAsia="仿宋_GB2312"/>
          <w:color w:val="000000"/>
          <w:sz w:val="32"/>
          <w:szCs w:val="32"/>
        </w:rPr>
        <w:t>全年共接待群众来访</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余人次，帮助农民群众政策查询</w:t>
      </w:r>
      <w:r>
        <w:rPr>
          <w:rFonts w:hint="eastAsia" w:ascii="仿宋_GB2312" w:eastAsia="仿宋_GB2312"/>
          <w:color w:val="000000"/>
          <w:sz w:val="32"/>
          <w:szCs w:val="32"/>
          <w:lang w:val="en-US" w:eastAsia="zh-CN"/>
        </w:rPr>
        <w:t>185</w:t>
      </w:r>
      <w:r>
        <w:rPr>
          <w:rFonts w:hint="eastAsia" w:ascii="仿宋_GB2312" w:eastAsia="仿宋_GB2312"/>
          <w:color w:val="000000"/>
          <w:sz w:val="32"/>
          <w:szCs w:val="32"/>
        </w:rPr>
        <w:t>人次，均获满意答复。</w:t>
      </w:r>
    </w:p>
    <w:p>
      <w:pPr>
        <w:spacing w:line="56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（四）</w:t>
      </w:r>
      <w:r>
        <w:rPr>
          <w:rFonts w:hint="eastAsia" w:ascii="楷体_GB2312" w:eastAsia="楷体_GB2312"/>
          <w:b/>
          <w:color w:val="000000"/>
          <w:sz w:val="32"/>
          <w:szCs w:val="32"/>
          <w:lang w:val="en-US" w:eastAsia="zh-CN"/>
        </w:rPr>
        <w:t>以落实财务制度为主题</w:t>
      </w:r>
      <w:r>
        <w:rPr>
          <w:rFonts w:hint="eastAsia" w:ascii="楷体_GB2312" w:eastAsia="楷体_GB2312"/>
          <w:b/>
          <w:color w:val="000000"/>
          <w:sz w:val="32"/>
          <w:szCs w:val="32"/>
        </w:rPr>
        <w:t>，</w:t>
      </w:r>
      <w:r>
        <w:rPr>
          <w:rFonts w:hint="eastAsia" w:ascii="楷体_GB2312" w:eastAsia="楷体_GB2312"/>
          <w:b/>
          <w:color w:val="000000"/>
          <w:sz w:val="32"/>
          <w:szCs w:val="32"/>
          <w:lang w:val="en-US" w:eastAsia="zh-CN"/>
        </w:rPr>
        <w:t>加强村级财务</w:t>
      </w:r>
      <w:r>
        <w:rPr>
          <w:rFonts w:hint="eastAsia" w:ascii="楷体_GB2312" w:eastAsia="楷体_GB2312"/>
          <w:b/>
          <w:color w:val="000000"/>
          <w:sz w:val="32"/>
          <w:szCs w:val="32"/>
        </w:rPr>
        <w:t>监管。</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一是根据新时代基层财政的职能要求，追求高效服务、继续</w:t>
      </w:r>
      <w:r>
        <w:rPr>
          <w:rFonts w:hint="eastAsia" w:ascii="仿宋_GB2312" w:eastAsia="仿宋_GB2312"/>
          <w:color w:val="000000"/>
          <w:sz w:val="32"/>
          <w:szCs w:val="32"/>
          <w:lang w:val="en-US" w:eastAsia="zh-CN"/>
        </w:rPr>
        <w:t>搞好</w:t>
      </w:r>
      <w:r>
        <w:rPr>
          <w:rFonts w:hint="eastAsia" w:ascii="仿宋_GB2312" w:eastAsia="仿宋_GB2312"/>
          <w:color w:val="000000"/>
          <w:sz w:val="32"/>
          <w:szCs w:val="32"/>
        </w:rPr>
        <w:t>村级财务代理记账</w:t>
      </w:r>
      <w:r>
        <w:rPr>
          <w:rFonts w:hint="eastAsia" w:ascii="仿宋_GB2312" w:eastAsia="仿宋_GB2312"/>
          <w:color w:val="000000"/>
          <w:sz w:val="32"/>
          <w:szCs w:val="32"/>
          <w:lang w:val="en-US" w:eastAsia="zh-CN"/>
        </w:rPr>
        <w:t>工作的</w:t>
      </w:r>
      <w:r>
        <w:rPr>
          <w:rFonts w:hint="eastAsia" w:ascii="仿宋_GB2312" w:eastAsia="仿宋_GB2312"/>
          <w:color w:val="000000"/>
          <w:sz w:val="32"/>
          <w:szCs w:val="32"/>
        </w:rPr>
        <w:t>指导，规范镇政府财务核算。二是</w:t>
      </w:r>
      <w:r>
        <w:rPr>
          <w:rFonts w:hint="eastAsia" w:ascii="仿宋_GB2312" w:eastAsia="仿宋_GB2312"/>
          <w:color w:val="000000"/>
          <w:sz w:val="32"/>
          <w:szCs w:val="32"/>
          <w:lang w:val="en-US" w:eastAsia="zh-CN"/>
        </w:rPr>
        <w:t>加强</w:t>
      </w:r>
      <w:r>
        <w:rPr>
          <w:rFonts w:hint="eastAsia" w:ascii="仿宋_GB2312" w:eastAsia="仿宋_GB2312"/>
          <w:color w:val="000000"/>
          <w:sz w:val="32"/>
          <w:szCs w:val="32"/>
        </w:rPr>
        <w:t>农村集体“三资”的监管</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认真督促村级账务使用，突出对村级项目进行资金使用监管，确保资金用到为民服务的关键环节。三是进一步规范村级报账程序，年初财政所初级各村报账员进行了报账业务培训，列出来报账凭粘贴规范顺序表，明确了村级各种类型报账所需要的资料，使村级报账程序更加规范化、制度化。</w:t>
      </w:r>
    </w:p>
    <w:p>
      <w:pPr>
        <w:numPr>
          <w:ilvl w:val="0"/>
          <w:numId w:val="2"/>
        </w:numPr>
        <w:spacing w:line="560" w:lineRule="exact"/>
        <w:ind w:firstLine="643" w:firstLineChars="200"/>
        <w:rPr>
          <w:rFonts w:hint="eastAsia" w:ascii="楷体_GB2312" w:hAnsi="Calibri" w:eastAsia="楷体_GB2312" w:cs="Times New Roman"/>
          <w:b/>
          <w:color w:val="000000"/>
          <w:sz w:val="32"/>
          <w:szCs w:val="32"/>
          <w:lang w:val="en-US" w:eastAsia="zh-CN"/>
        </w:rPr>
      </w:pPr>
      <w:r>
        <w:rPr>
          <w:rFonts w:hint="eastAsia" w:ascii="楷体_GB2312" w:hAnsi="Calibri" w:eastAsia="楷体_GB2312" w:cs="Times New Roman"/>
          <w:b/>
          <w:color w:val="000000"/>
          <w:sz w:val="32"/>
          <w:szCs w:val="32"/>
          <w:lang w:val="en-US" w:eastAsia="zh-CN"/>
        </w:rPr>
        <w:t>以财政所为家，加强基础设施建设</w:t>
      </w:r>
    </w:p>
    <w:p>
      <w:pPr>
        <w:numPr>
          <w:ilvl w:val="0"/>
          <w:numId w:val="0"/>
        </w:numPr>
        <w:spacing w:line="560" w:lineRule="exact"/>
        <w:ind w:firstLine="640" w:firstLineChars="200"/>
        <w:rPr>
          <w:rFonts w:hint="default" w:ascii="楷体_GB2312" w:hAnsi="Calibri" w:eastAsia="楷体_GB2312" w:cs="Times New Roman"/>
          <w:b/>
          <w:color w:val="000000"/>
          <w:sz w:val="32"/>
          <w:szCs w:val="32"/>
          <w:lang w:val="en-US" w:eastAsia="zh-CN"/>
        </w:rPr>
      </w:pPr>
      <w:r>
        <w:rPr>
          <w:rFonts w:hint="eastAsia" w:ascii="仿宋_GB2312" w:eastAsia="仿宋_GB2312"/>
          <w:color w:val="000000"/>
          <w:sz w:val="32"/>
          <w:szCs w:val="32"/>
          <w:lang w:val="en-US" w:eastAsia="zh-CN"/>
        </w:rPr>
        <w:t>今年以来财政所在县财政局的扶持和关心下，财政所进一步完善各类设施建设。新建不锈钢铁门一扇，杜绝了周六日因放假，财政所没有院门而不安全的问题；在二楼会议室新安装档案密集架10组，很好的解决了多年来用档案柜存放档案不够的情况，缓解了档案存放难题；在食堂和办公大厅安装纯净水饮用系统两套，为来办事的群众和职工饮用放心干净的水提供了方便；职工宿舍楼公共卫生间安装铝合金门一扇，职工食堂新装卷闸门一扇，财政所各项设施建设不断完善，给职工留下了栓心留人的工作环境。</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回顾一年来的工作，虽然取得了一些成绩，但离上级的要求还有一定的差距。主要表现要以下方面：</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1、服务群众意识还有待于进一步提高。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2、干部职工的事业心与责任感与现实要求还有不小差距，对工作的热情不是很高。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坚持学习不够，不仅仅是专业知识要加强，其他理论知识也要加强。在今后的工作中，我们将认真总结经验教训，不断提高业务水平；服从安排，按照“心系群众、财政为民”的精神，不断创新工作思路，求谋思变；转变工作作风，努力做到“财为民所谋、财为民所理、财为民所用”，从群众中来到群众中去，体谅农民疾苦，解决百姓困难，赢取百姓支持，树立好窗口形象，把我镇的财政财务工作推上一个新的台阶。</w:t>
      </w:r>
    </w:p>
    <w:p>
      <w:pPr>
        <w:spacing w:line="560"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二、202</w:t>
      </w: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年工作计划</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我所将继续坚持以习近平新时代中国特色社会主义思想为指导，用科学发展观统领改革与发展大局，以党建为引领，紧紧围绕镇党委、政府的中心工作，加强政德建设，强化内部管理，不断改进工作作风，提高服务水平，充分发挥财政监督职能作用，提高财政资金使用效率，为促进我镇经济社会全面发展多做贡献。</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（一）、努力做好20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年部门决算以及202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 xml:space="preserve">年部门预算；完成每月的结存结余资金报表和每季度管理清单等日常报表； </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（二）、扎实开展农村集体产权制度改革后续工作（组账镇管）</w:t>
      </w:r>
      <w:r>
        <w:rPr>
          <w:rFonts w:hint="eastAsia" w:ascii="仿宋_GB2312" w:eastAsia="仿宋_GB2312"/>
          <w:color w:val="000000"/>
          <w:sz w:val="32"/>
          <w:szCs w:val="32"/>
          <w:lang w:val="en-US" w:eastAsia="zh-CN"/>
        </w:rPr>
        <w:t>加强对组级资金的监管力度。</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全面落实好国家各项惠农政策，确保各种惠农资金落实到位。一是要及时将惠民政策宣传到位，二是要认真做好各种惠农资金的对象调查及资金的发放工作。确保应该发给农民的资金100%发放到农民手中，使群众真正得实惠。</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进一步加强财政资金监管。财政资金涉及方方面面，为使财政资金更好的发挥作用，新的一年财政所将认真落实上级有关文件精神，加大财政资金监管力度，将所有财政资金全部纳入监管范围，进一步健全制度，建立内部监管检查机制，确保财政资金安全及使用效益最大化。</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（五）、加强政治理论学习和业务学习。通过强化学习进一步提高财政所全体人员的综合素质和业务能力，增强服务大局的本领。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（六）、全力做好镇党委、政府交办的其他工作。</w:t>
      </w:r>
    </w:p>
    <w:p>
      <w:pPr>
        <w:spacing w:line="560" w:lineRule="exact"/>
        <w:ind w:firstLine="640"/>
        <w:jc w:val="both"/>
        <w:rPr>
          <w:rFonts w:hint="eastAsia" w:ascii="黑体" w:hAnsi="黑体" w:eastAsia="黑体" w:cs="黑体"/>
          <w:sz w:val="32"/>
          <w:szCs w:val="32"/>
          <w:lang w:val="en-US" w:eastAsia="zh-CN"/>
        </w:rPr>
      </w:pPr>
    </w:p>
    <w:p>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名词解释</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（一）</w:t>
      </w:r>
      <w:r>
        <w:rPr>
          <w:rFonts w:hint="eastAsia" w:ascii="仿宋_GB2312" w:eastAsia="仿宋_GB2312"/>
          <w:bCs/>
          <w:kern w:val="44"/>
          <w:sz w:val="32"/>
          <w:szCs w:val="32"/>
          <w:highlight w:val="none"/>
          <w:lang w:val="en-US" w:eastAsia="zh-CN"/>
        </w:rPr>
        <w:t>一般公共预算财政拨款收入：</w:t>
      </w:r>
      <w:r>
        <w:rPr>
          <w:rFonts w:hint="default" w:ascii="仿宋_GB2312" w:eastAsia="仿宋_GB2312"/>
          <w:bCs/>
          <w:kern w:val="44"/>
          <w:sz w:val="32"/>
          <w:szCs w:val="32"/>
          <w:highlight w:val="none"/>
          <w:lang w:val="en-US" w:eastAsia="zh-CN"/>
        </w:rPr>
        <w:t>指</w:t>
      </w:r>
      <w:r>
        <w:rPr>
          <w:rFonts w:hint="eastAsia" w:ascii="仿宋_GB2312" w:eastAsia="仿宋_GB2312"/>
          <w:bCs/>
          <w:kern w:val="44"/>
          <w:sz w:val="32"/>
          <w:szCs w:val="32"/>
          <w:highlight w:val="none"/>
          <w:lang w:val="en-US" w:eastAsia="zh-CN"/>
        </w:rPr>
        <w:t>省级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一般公共预算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（二）</w:t>
      </w:r>
      <w:r>
        <w:rPr>
          <w:rFonts w:hint="eastAsia" w:ascii="仿宋_GB2312" w:eastAsia="仿宋_GB2312"/>
          <w:bCs/>
          <w:kern w:val="44"/>
          <w:sz w:val="32"/>
          <w:szCs w:val="32"/>
          <w:highlight w:val="none"/>
          <w:lang w:val="en-US" w:eastAsia="zh-CN"/>
        </w:rPr>
        <w:t>政府性基金预算财政拨款收入：</w:t>
      </w:r>
      <w:r>
        <w:rPr>
          <w:rFonts w:hint="default" w:ascii="仿宋_GB2312" w:eastAsia="仿宋_GB2312"/>
          <w:bCs/>
          <w:kern w:val="44"/>
          <w:sz w:val="32"/>
          <w:szCs w:val="32"/>
          <w:highlight w:val="none"/>
          <w:lang w:val="en-US" w:eastAsia="zh-CN"/>
        </w:rPr>
        <w:t>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政府性基金预算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（三）</w:t>
      </w:r>
      <w:r>
        <w:rPr>
          <w:rFonts w:hint="eastAsia" w:ascii="仿宋_GB2312" w:eastAsia="仿宋_GB2312"/>
          <w:bCs/>
          <w:kern w:val="44"/>
          <w:sz w:val="32"/>
          <w:szCs w:val="32"/>
          <w:highlight w:val="none"/>
          <w:lang w:val="en-US" w:eastAsia="zh-CN"/>
        </w:rPr>
        <w:t>国有资本经营预算财政拨款收入：指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级财政国有资本经营预算当年拨付的资金。</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（四）</w:t>
      </w:r>
      <w:r>
        <w:rPr>
          <w:rFonts w:hint="eastAsia" w:ascii="仿宋_GB2312" w:eastAsia="仿宋_GB2312"/>
          <w:bCs/>
          <w:kern w:val="44"/>
          <w:sz w:val="32"/>
          <w:szCs w:val="32"/>
          <w:highlight w:val="none"/>
          <w:lang w:val="en-US" w:eastAsia="zh-CN"/>
        </w:rPr>
        <w:t>上级补助收入：指从</w:t>
      </w:r>
      <w:r>
        <w:rPr>
          <w:rFonts w:hint="eastAsia" w:ascii="仿宋_GB2312" w:hAnsi="宋体" w:eastAsia="仿宋_GB2312"/>
          <w:sz w:val="32"/>
          <w:szCs w:val="32"/>
          <w:highlight w:val="none"/>
          <w:lang w:val="en-US" w:eastAsia="zh-CN"/>
        </w:rPr>
        <w:t>事业单位</w:t>
      </w:r>
      <w:r>
        <w:rPr>
          <w:rFonts w:hint="eastAsia" w:ascii="仿宋_GB2312" w:eastAsia="仿宋_GB2312"/>
          <w:bCs/>
          <w:kern w:val="44"/>
          <w:sz w:val="32"/>
          <w:szCs w:val="32"/>
          <w:highlight w:val="none"/>
          <w:lang w:val="en-US" w:eastAsia="zh-CN"/>
        </w:rPr>
        <w:t>主管部门和上级单位取得的非财政补助收入。</w:t>
      </w:r>
    </w:p>
    <w:p>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（五）</w:t>
      </w:r>
      <w:r>
        <w:rPr>
          <w:rFonts w:hint="eastAsia" w:ascii="仿宋_GB2312" w:eastAsia="仿宋_GB2312"/>
          <w:bCs/>
          <w:kern w:val="44"/>
          <w:sz w:val="32"/>
          <w:szCs w:val="32"/>
          <w:highlight w:val="none"/>
          <w:lang w:val="en-US" w:eastAsia="zh-CN"/>
        </w:rPr>
        <w:t>事业收入：指事业单位开展专业业务活动及其辅助活动取得的收入。</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（六）</w:t>
      </w:r>
      <w:r>
        <w:rPr>
          <w:rFonts w:hint="eastAsia" w:ascii="仿宋_GB2312" w:eastAsia="仿宋_GB2312"/>
          <w:bCs/>
          <w:kern w:val="44"/>
          <w:sz w:val="32"/>
          <w:szCs w:val="32"/>
          <w:highlight w:val="none"/>
          <w:lang w:val="en-US" w:eastAsia="zh-CN"/>
        </w:rPr>
        <w:t>经营收入：指事业单位在专业业务活动及其辅助活动之外开展非独立核算经营活动取得的收入。</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宋体" w:eastAsia="仿宋_GB2312"/>
          <w:sz w:val="32"/>
          <w:szCs w:val="32"/>
          <w:highlight w:val="none"/>
          <w:lang w:val="en-US" w:eastAsia="zh-CN"/>
        </w:rPr>
      </w:pPr>
      <w:r>
        <w:rPr>
          <w:rFonts w:hint="eastAsia" w:ascii="仿宋_GB2312"/>
          <w:bCs/>
          <w:kern w:val="44"/>
          <w:sz w:val="32"/>
          <w:szCs w:val="32"/>
          <w:highlight w:val="none"/>
          <w:lang w:val="en-US" w:eastAsia="zh-CN"/>
        </w:rPr>
        <w:t>（七）</w:t>
      </w:r>
      <w:r>
        <w:rPr>
          <w:rFonts w:hint="eastAsia" w:ascii="仿宋_GB2312" w:eastAsia="仿宋_GB2312"/>
          <w:bCs/>
          <w:kern w:val="44"/>
          <w:sz w:val="32"/>
          <w:szCs w:val="32"/>
          <w:highlight w:val="none"/>
          <w:lang w:val="en-US" w:eastAsia="zh-CN"/>
        </w:rPr>
        <w:t>其他收入：指</w:t>
      </w:r>
      <w:r>
        <w:rPr>
          <w:rFonts w:hint="eastAsia" w:ascii="仿宋_GB2312" w:hAnsi="宋体" w:eastAsia="仿宋_GB2312"/>
          <w:sz w:val="32"/>
          <w:szCs w:val="32"/>
          <w:highlight w:val="none"/>
          <w:lang w:val="en-US" w:eastAsia="zh-CN"/>
        </w:rPr>
        <w:t>单位取得的除上述“一般公共预算财政拨款收入”、“政府性基金</w:t>
      </w:r>
      <w:r>
        <w:rPr>
          <w:rFonts w:hint="eastAsia" w:ascii="仿宋_GB2312" w:eastAsia="仿宋_GB2312"/>
          <w:spacing w:val="6"/>
          <w:sz w:val="32"/>
          <w:szCs w:val="32"/>
          <w:highlight w:val="none"/>
          <w:lang w:val="en-US" w:eastAsia="zh-CN"/>
        </w:rPr>
        <w:t>预算</w:t>
      </w:r>
      <w:r>
        <w:rPr>
          <w:rFonts w:hint="eastAsia" w:ascii="仿宋_GB2312" w:eastAsia="仿宋_GB2312"/>
          <w:bCs/>
          <w:kern w:val="44"/>
          <w:sz w:val="32"/>
          <w:szCs w:val="32"/>
          <w:highlight w:val="none"/>
          <w:lang w:val="en-US" w:eastAsia="zh-CN"/>
        </w:rPr>
        <w:t>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lang w:val="en-US" w:eastAsia="zh-CN"/>
        </w:rPr>
        <w:t>国有资本经营预算财政拨款收入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highlight w:val="none"/>
          <w:lang w:val="en-US" w:eastAsia="zh-CN"/>
        </w:rPr>
        <w:t>上级补助收入</w:t>
      </w:r>
      <w:r>
        <w:rPr>
          <w:rFonts w:hint="eastAsia" w:ascii="仿宋_GB2312" w:hAnsi="宋体" w:eastAsia="仿宋_GB2312"/>
          <w:sz w:val="32"/>
          <w:szCs w:val="32"/>
          <w:highlight w:val="none"/>
          <w:lang w:val="en-US" w:eastAsia="zh-CN"/>
        </w:rPr>
        <w:t>”、“事业收入”、“经营收入”等收入以外的各项收入。（该项名词解释中“上述……等收入”请依据部门收入的实际情况进行解释）</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lang w:val="en-US" w:eastAsia="zh-CN"/>
        </w:rPr>
      </w:pPr>
      <w:r>
        <w:rPr>
          <w:rFonts w:hint="eastAsia" w:ascii="仿宋_GB2312"/>
          <w:bCs/>
          <w:kern w:val="44"/>
          <w:sz w:val="32"/>
          <w:szCs w:val="32"/>
          <w:highlight w:val="none"/>
          <w:lang w:val="en-US" w:eastAsia="zh-CN"/>
        </w:rPr>
        <w:t>（</w:t>
      </w:r>
      <w:r>
        <w:rPr>
          <w:rFonts w:hint="eastAsia" w:ascii="仿宋_GB2312" w:eastAsia="仿宋_GB2312"/>
          <w:bCs/>
          <w:kern w:val="44"/>
          <w:sz w:val="32"/>
          <w:szCs w:val="32"/>
          <w:highlight w:val="none"/>
          <w:lang w:val="en-US" w:eastAsia="zh-CN"/>
        </w:rPr>
        <w:t>八</w:t>
      </w:r>
      <w:r>
        <w:rPr>
          <w:rFonts w:hint="eastAsia" w:ascii="仿宋_GB2312"/>
          <w:bCs/>
          <w:kern w:val="44"/>
          <w:sz w:val="32"/>
          <w:szCs w:val="32"/>
          <w:highlight w:val="none"/>
          <w:lang w:val="en-US" w:eastAsia="zh-CN"/>
        </w:rPr>
        <w:t>）</w:t>
      </w:r>
      <w:r>
        <w:rPr>
          <w:rFonts w:hint="eastAsia" w:ascii="仿宋_GB2312" w:eastAsia="仿宋_GB2312"/>
          <w:bCs/>
          <w:kern w:val="44"/>
          <w:sz w:val="32"/>
          <w:szCs w:val="32"/>
          <w:highlight w:val="none"/>
          <w:lang w:val="en-US" w:eastAsia="zh-CN"/>
        </w:rPr>
        <w:t>使用非财政拨款结余</w:t>
      </w:r>
      <w:r>
        <w:rPr>
          <w:rFonts w:hint="eastAsia" w:ascii="仿宋_GB2312"/>
          <w:bCs/>
          <w:kern w:val="44"/>
          <w:sz w:val="32"/>
          <w:szCs w:val="32"/>
          <w:highlight w:val="none"/>
          <w:lang w:val="en-US" w:eastAsia="zh-CN"/>
        </w:rPr>
        <w:t>和专用结余</w:t>
      </w:r>
      <w:r>
        <w:rPr>
          <w:rFonts w:hint="eastAsia" w:ascii="仿宋_GB2312" w:eastAsia="仿宋_GB2312"/>
          <w:bCs/>
          <w:kern w:val="44"/>
          <w:sz w:val="32"/>
          <w:szCs w:val="32"/>
          <w:highlight w:val="none"/>
          <w:lang w:val="en-US" w:eastAsia="zh-CN"/>
        </w:rPr>
        <w:t>：</w:t>
      </w:r>
      <w:r>
        <w:rPr>
          <w:rFonts w:hint="default" w:ascii="FangSong_GB2312" w:hAnsi="FangSong_GB2312" w:eastAsia="FangSong_GB2312"/>
          <w:color w:val="000000"/>
          <w:sz w:val="32"/>
          <w:lang w:val="en-US" w:eastAsia="zh-CN"/>
        </w:rPr>
        <w:t>指事业单位</w:t>
      </w:r>
      <w:r>
        <w:rPr>
          <w:rFonts w:hint="eastAsia" w:ascii="FangSong_GB2312" w:hAnsi="FangSong_GB2312" w:eastAsia="FangSong_GB2312"/>
          <w:color w:val="000000"/>
          <w:sz w:val="32"/>
          <w:lang w:val="en-US" w:eastAsia="zh-CN"/>
        </w:rPr>
        <w:t>按照预算管理要求使用非财政拨款结余弥补收支差额的金额，以及使用专用结余安排支出的金额。</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（九）</w:t>
      </w:r>
      <w:r>
        <w:rPr>
          <w:rFonts w:hint="eastAsia" w:ascii="仿宋_GB2312" w:eastAsia="仿宋_GB2312"/>
          <w:bCs/>
          <w:kern w:val="44"/>
          <w:sz w:val="32"/>
          <w:szCs w:val="32"/>
          <w:highlight w:val="none"/>
          <w:lang w:val="en-US" w:eastAsia="zh-CN"/>
        </w:rPr>
        <w:t>年初结转和结余：</w:t>
      </w:r>
      <w:r>
        <w:rPr>
          <w:rFonts w:hint="default" w:ascii="FangSong_GB2312" w:hAnsi="FangSong_GB2312" w:eastAsia="FangSong_GB2312"/>
          <w:color w:val="000000"/>
          <w:sz w:val="32"/>
          <w:lang w:val="en-US" w:eastAsia="zh-CN"/>
        </w:rPr>
        <w:t>指</w:t>
      </w:r>
      <w:r>
        <w:rPr>
          <w:rFonts w:hint="eastAsia" w:ascii="FangSong_GB2312" w:hAnsi="FangSong_GB2312" w:eastAsia="FangSong_GB2312"/>
          <w:color w:val="000000"/>
          <w:sz w:val="32"/>
          <w:lang w:val="en-US" w:eastAsia="zh-CN"/>
        </w:rPr>
        <w:t>单位</w:t>
      </w:r>
      <w:r>
        <w:rPr>
          <w:rFonts w:hint="default" w:ascii="FangSong_GB2312" w:hAnsi="FangSong_GB2312" w:eastAsia="FangSong_GB2312"/>
          <w:color w:val="000000"/>
          <w:sz w:val="32"/>
          <w:lang w:val="en-US" w:eastAsia="zh-CN"/>
        </w:rPr>
        <w:t>以前年度</w:t>
      </w:r>
      <w:r>
        <w:rPr>
          <w:rFonts w:hint="eastAsia" w:ascii="FangSong_GB2312" w:hAnsi="FangSong_GB2312" w:eastAsia="FangSong_GB2312"/>
          <w:color w:val="000000"/>
          <w:sz w:val="32"/>
          <w:lang w:val="en-US" w:eastAsia="zh-CN"/>
        </w:rPr>
        <w:t>尚未完成</w:t>
      </w:r>
      <w:r>
        <w:rPr>
          <w:rFonts w:hint="default" w:ascii="FangSong_GB2312" w:hAnsi="FangSong_GB2312" w:eastAsia="FangSong_GB2312"/>
          <w:color w:val="000000"/>
          <w:sz w:val="32"/>
          <w:lang w:val="en-US" w:eastAsia="zh-CN"/>
        </w:rPr>
        <w:t>、结转到本年仍按原规定用途继续使用的资金</w:t>
      </w:r>
      <w:r>
        <w:rPr>
          <w:rFonts w:hint="eastAsia" w:ascii="FangSong_GB2312" w:hAnsi="FangSong_GB2312" w:eastAsia="FangSong_GB2312"/>
          <w:color w:val="000000"/>
          <w:sz w:val="32"/>
          <w:lang w:val="en-US" w:eastAsia="zh-CN"/>
        </w:rPr>
        <w:t>，或项目已完成等产生的结余资金</w:t>
      </w:r>
      <w:r>
        <w:rPr>
          <w:rFonts w:hint="default" w:ascii="FangSong_GB2312" w:hAnsi="FangSong_GB2312" w:eastAsia="FangSong_GB2312"/>
          <w:color w:val="000000"/>
          <w:sz w:val="32"/>
          <w:lang w:val="en-US" w:eastAsia="zh-CN"/>
        </w:rPr>
        <w:t>。</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w:t>
      </w:r>
      <w:r>
        <w:rPr>
          <w:rFonts w:hint="eastAsia" w:ascii="仿宋_GB2312" w:eastAsia="仿宋_GB2312"/>
          <w:bCs/>
          <w:kern w:val="44"/>
          <w:sz w:val="32"/>
          <w:szCs w:val="32"/>
          <w:highlight w:val="none"/>
          <w:lang w:val="en-US" w:eastAsia="zh-CN"/>
        </w:rPr>
        <w:t>本部门使用的支出功能分类科目(到项级)</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bCs/>
          <w:kern w:val="44"/>
          <w:sz w:val="32"/>
          <w:szCs w:val="32"/>
          <w:highlight w:val="none"/>
          <w:lang w:val="en-US" w:eastAsia="zh-CN"/>
        </w:rPr>
        <w:t>1.</w:t>
      </w:r>
      <w:r>
        <w:rPr>
          <w:rFonts w:hint="eastAsia" w:ascii="仿宋_GB2312" w:eastAsia="仿宋_GB2312"/>
          <w:sz w:val="32"/>
          <w:szCs w:val="32"/>
          <w:highlight w:val="none"/>
          <w:lang w:val="en-US" w:eastAsia="zh-CN"/>
        </w:rPr>
        <w:t>一般公共服务(类)财政事务(款)行政运行(项)</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eastAsia="仿宋_GB2312"/>
          <w:sz w:val="32"/>
          <w:szCs w:val="32"/>
          <w:highlight w:val="none"/>
          <w:lang w:val="en-US" w:eastAsia="zh-CN"/>
        </w:rPr>
        <w:t>2.…</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（参考《</w:t>
      </w:r>
      <w:r>
        <w:rPr>
          <w:rFonts w:hint="eastAsia" w:ascii="仿宋_GB2312"/>
          <w:sz w:val="32"/>
          <w:szCs w:val="32"/>
          <w:highlight w:val="none"/>
          <w:lang w:val="en-US" w:eastAsia="zh-CN"/>
        </w:rPr>
        <w:t>2024年</w:t>
      </w:r>
      <w:r>
        <w:rPr>
          <w:rFonts w:hint="eastAsia" w:ascii="仿宋_GB2312" w:eastAsia="仿宋_GB2312"/>
          <w:sz w:val="32"/>
          <w:szCs w:val="32"/>
          <w:highlight w:val="none"/>
          <w:lang w:val="en-US" w:eastAsia="zh-CN"/>
        </w:rPr>
        <w:t>政府收支分类科目》说明逐项解释）</w:t>
      </w:r>
    </w:p>
    <w:p>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（十一）</w:t>
      </w:r>
      <w:r>
        <w:rPr>
          <w:rFonts w:hint="eastAsia" w:ascii="仿宋_GB2312" w:eastAsia="仿宋_GB2312"/>
          <w:bCs/>
          <w:kern w:val="44"/>
          <w:sz w:val="32"/>
          <w:szCs w:val="32"/>
          <w:highlight w:val="none"/>
          <w:lang w:val="en-US" w:eastAsia="zh-CN"/>
        </w:rPr>
        <w:t>结余分配：指事业单位按照会计制度规定缴纳的企业所得税、提取的专用结余以及转入非财政拨款结余的金额等。</w:t>
      </w:r>
    </w:p>
    <w:p>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szCs w:val="32"/>
          <w:highlight w:val="none"/>
          <w:lang w:val="en-US" w:eastAsia="zh-CN"/>
        </w:rPr>
      </w:pPr>
      <w:r>
        <w:rPr>
          <w:rFonts w:hint="eastAsia" w:ascii="仿宋_GB2312"/>
          <w:bCs/>
          <w:kern w:val="44"/>
          <w:sz w:val="32"/>
          <w:szCs w:val="32"/>
          <w:highlight w:val="none"/>
          <w:lang w:val="en-US" w:eastAsia="zh-CN"/>
        </w:rPr>
        <w:t>（十二）</w:t>
      </w:r>
      <w:r>
        <w:rPr>
          <w:rFonts w:hint="eastAsia" w:ascii="仿宋_GB2312" w:eastAsia="仿宋_GB2312"/>
          <w:bCs/>
          <w:kern w:val="44"/>
          <w:sz w:val="32"/>
          <w:szCs w:val="32"/>
          <w:highlight w:val="none"/>
          <w:lang w:val="en-US" w:eastAsia="zh-CN"/>
        </w:rPr>
        <w:t>年末结转和结余：指单位按有关规定结转到下年或以后年度继续使用的资金，或项目已完成等产生的结余资金。</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（十三）</w:t>
      </w:r>
      <w:r>
        <w:rPr>
          <w:rFonts w:hint="eastAsia" w:ascii="仿宋_GB2312" w:eastAsia="仿宋_GB2312"/>
          <w:bCs/>
          <w:kern w:val="44"/>
          <w:sz w:val="32"/>
          <w:szCs w:val="32"/>
          <w:highlight w:val="none"/>
          <w:lang w:val="en-US" w:eastAsia="zh-CN"/>
        </w:rPr>
        <w:t>基本支出：指为保障机构正常运转、完成日常工作任务而发生的</w:t>
      </w:r>
      <w:r>
        <w:rPr>
          <w:rFonts w:ascii="仿宋_GB2312" w:eastAsia="仿宋_GB2312"/>
          <w:bCs/>
          <w:kern w:val="44"/>
          <w:sz w:val="32"/>
          <w:szCs w:val="32"/>
          <w:highlight w:val="none"/>
          <w:lang w:val="en-US" w:eastAsia="zh-CN"/>
        </w:rPr>
        <w:t>人员支出和公用支出</w:t>
      </w:r>
      <w:r>
        <w:rPr>
          <w:rFonts w:hint="eastAsia" w:ascii="仿宋_GB2312" w:eastAsia="仿宋_GB2312"/>
          <w:bCs/>
          <w:kern w:val="44"/>
          <w:sz w:val="32"/>
          <w:szCs w:val="32"/>
          <w:highlight w:val="none"/>
          <w:lang w:val="en-US" w:eastAsia="zh-CN"/>
        </w:rPr>
        <w:t>。</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szCs w:val="22"/>
          <w:lang w:val="en-US" w:eastAsia="zh-CN"/>
        </w:rPr>
      </w:pPr>
      <w:r>
        <w:rPr>
          <w:rFonts w:hint="eastAsia" w:ascii="FangSong_GB2312" w:hAnsi="FangSong_GB2312" w:eastAsia="FangSong_GB2312"/>
          <w:color w:val="000000"/>
          <w:sz w:val="32"/>
          <w:szCs w:val="22"/>
          <w:lang w:val="en-US" w:eastAsia="zh-CN"/>
        </w:rPr>
        <w:t>（十四）项目支出：指在基本支出之外为完成特定行政任务或事业发展目标所发生的支出。</w:t>
      </w:r>
    </w:p>
    <w:p>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sz w:val="32"/>
          <w:szCs w:val="32"/>
          <w:highlight w:val="none"/>
          <w:lang w:val="en-US" w:eastAsia="zh-CN"/>
        </w:rPr>
        <w:t>（十五）</w:t>
      </w:r>
      <w:r>
        <w:rPr>
          <w:rFonts w:hint="eastAsia" w:ascii="仿宋_GB2312" w:eastAsia="仿宋_GB2312"/>
          <w:bCs/>
          <w:kern w:val="44"/>
          <w:sz w:val="32"/>
          <w:szCs w:val="32"/>
          <w:highlight w:val="none"/>
          <w:lang w:val="en-US" w:eastAsia="zh-CN"/>
        </w:rPr>
        <w:t>经营支出：指事业单位在专业活动及辅助活动之外开展非独立核算经营活动发生的支出。</w:t>
      </w:r>
    </w:p>
    <w:p>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sz w:val="32"/>
          <w:szCs w:val="32"/>
          <w:highlight w:val="none"/>
          <w:lang w:val="en-US" w:eastAsia="zh-CN"/>
        </w:rPr>
        <w:t>（十六）</w:t>
      </w:r>
      <w:r>
        <w:rPr>
          <w:rFonts w:hint="eastAsia" w:ascii="仿宋_GB2312" w:eastAsia="仿宋_GB2312"/>
          <w:sz w:val="32"/>
          <w:szCs w:val="32"/>
          <w:highlight w:val="none"/>
          <w:lang w:val="en-US" w:eastAsia="zh-CN"/>
        </w:rPr>
        <w:t>“三公”经费：纳入省级财政预决算管理的“三公”经费，是指省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yellow"/>
          <w:lang w:val="en-US" w:eastAsia="zh-CN"/>
        </w:rPr>
      </w:pPr>
      <w:r>
        <w:rPr>
          <w:rFonts w:hint="eastAsia" w:ascii="仿宋_GB2312"/>
          <w:sz w:val="32"/>
          <w:szCs w:val="32"/>
          <w:highlight w:val="none"/>
          <w:lang w:val="en-US" w:eastAsia="zh-CN"/>
        </w:rPr>
        <w:t>（十七）</w:t>
      </w:r>
      <w:r>
        <w:rPr>
          <w:rFonts w:hint="eastAsia" w:ascii="仿宋_GB2312" w:eastAsia="仿宋_GB2312"/>
          <w:sz w:val="32"/>
          <w:szCs w:val="32"/>
          <w:highlight w:val="none"/>
          <w:lang w:val="en-US" w:eastAsia="zh-CN"/>
        </w:rPr>
        <w:t>机关运行经费：指为保障行政单位（包括参照公务员法管理的事业单位）运行用于购买货物和服务的各项资金，</w:t>
      </w:r>
      <w:r>
        <w:rPr>
          <w:rFonts w:ascii="仿宋_GB2312" w:eastAsia="仿宋_GB2312"/>
          <w:sz w:val="32"/>
          <w:szCs w:val="32"/>
          <w:highlight w:val="none"/>
          <w:lang w:val="en-US" w:eastAsia="zh-CN"/>
        </w:rPr>
        <w:t>包括办公</w:t>
      </w:r>
      <w:r>
        <w:rPr>
          <w:rFonts w:hint="eastAsia" w:ascii="仿宋_GB2312" w:eastAsia="仿宋_GB2312"/>
          <w:sz w:val="32"/>
          <w:szCs w:val="32"/>
          <w:highlight w:val="none"/>
          <w:lang w:val="en-US" w:eastAsia="zh-CN"/>
        </w:rPr>
        <w:t>费、</w:t>
      </w:r>
      <w:r>
        <w:rPr>
          <w:rFonts w:ascii="仿宋_GB2312" w:eastAsia="仿宋_GB2312"/>
          <w:sz w:val="32"/>
          <w:szCs w:val="32"/>
          <w:highlight w:val="none"/>
          <w:lang w:val="en-US" w:eastAsia="zh-CN"/>
        </w:rPr>
        <w:t>印刷费、邮电费、差旅费、会议费、福利费、日常维修费、专用材料及一般设备购置费、办公用房水电费、</w:t>
      </w:r>
      <w:r>
        <w:rPr>
          <w:rFonts w:hint="eastAsia" w:ascii="仿宋_GB2312" w:eastAsia="仿宋_GB2312"/>
          <w:sz w:val="32"/>
          <w:szCs w:val="32"/>
          <w:highlight w:val="none"/>
          <w:lang w:val="en-US" w:eastAsia="zh-CN"/>
        </w:rPr>
        <w:t>办公用房取暖费、</w:t>
      </w:r>
      <w:r>
        <w:rPr>
          <w:rFonts w:ascii="仿宋_GB2312" w:eastAsia="仿宋_GB2312"/>
          <w:sz w:val="32"/>
          <w:szCs w:val="32"/>
          <w:highlight w:val="none"/>
          <w:lang w:val="en-US" w:eastAsia="zh-CN"/>
        </w:rPr>
        <w:t>办公用房物业管理费、公务用车运行维护费以及其他费用。</w:t>
      </w:r>
    </w:p>
    <w:p>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(十八)其他专用名词。</w:t>
      </w:r>
    </w:p>
    <w:p>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（根据本部门使用的其他专用名词补充解释）</w:t>
      </w:r>
    </w:p>
    <w:p>
      <w:pPr>
        <w:pStyle w:val="1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第六部分  附件</w:t>
      </w:r>
    </w:p>
    <w:p>
      <w:pPr>
        <w:bidi w:val="0"/>
        <w:jc w:val="both"/>
        <w:rPr>
          <w:rFonts w:hint="eastAsia" w:ascii="黑体" w:hAnsi="黑体" w:eastAsia="黑体" w:cs="黑体"/>
          <w:lang w:val="en-US" w:eastAsia="zh-CN"/>
        </w:rPr>
      </w:pPr>
      <w:r>
        <w:rPr>
          <w:rFonts w:hint="eastAsia" w:ascii="黑体" w:hAnsi="黑体" w:eastAsia="黑体" w:cs="黑体"/>
          <w:kern w:val="2"/>
          <w:szCs w:val="32"/>
          <w:lang w:val="en-US" w:eastAsia="zh-CN" w:bidi="ar-SA"/>
        </w:rPr>
        <w:t xml:space="preserve">    </w:t>
      </w:r>
      <w:r>
        <w:rPr>
          <w:rFonts w:hint="eastAsia" w:ascii="黑体" w:hAnsi="黑体" w:eastAsia="黑体" w:cs="黑体"/>
          <w:lang w:val="en-US" w:eastAsia="zh-CN"/>
        </w:rPr>
        <w:t>一、2024年度</w:t>
      </w:r>
      <w:r>
        <w:rPr>
          <w:rFonts w:hint="eastAsia" w:ascii="黑体" w:hAnsi="黑体" w:eastAsia="黑体" w:cs="黑体"/>
          <w:u w:val="none"/>
          <w:lang w:val="en-US" w:eastAsia="zh-CN"/>
        </w:rPr>
        <w:t>通山县九宫山镇财政所本级</w:t>
      </w:r>
      <w:r>
        <w:rPr>
          <w:rFonts w:hint="eastAsia" w:ascii="黑体" w:hAnsi="黑体" w:eastAsia="黑体" w:cs="黑体"/>
          <w:lang w:val="en-US" w:eastAsia="zh-CN"/>
        </w:rPr>
        <w:t>整体绩效评价自评报告</w:t>
      </w:r>
    </w:p>
    <w:p>
      <w:pPr>
        <w:pStyle w:val="7"/>
        <w:widowControl/>
        <w:spacing w:before="0" w:beforeAutospacing="0" w:after="0" w:afterAutospacing="0" w:line="580" w:lineRule="exact"/>
        <w:jc w:val="center"/>
        <w:rPr>
          <w:rFonts w:eastAsia="方正大标宋简体"/>
          <w:color w:val="000000"/>
          <w:sz w:val="44"/>
          <w:szCs w:val="44"/>
        </w:rPr>
      </w:pPr>
      <w:r>
        <w:rPr>
          <w:rFonts w:hint="eastAsia"/>
          <w:lang w:val="en-US" w:eastAsia="zh-CN"/>
        </w:rPr>
        <w:t xml:space="preserve">    </w:t>
      </w:r>
    </w:p>
    <w:p>
      <w:pPr>
        <w:widowControl/>
        <w:spacing w:line="540" w:lineRule="exact"/>
        <w:ind w:firstLine="620" w:firstLineChars="200"/>
        <w:jc w:val="left"/>
        <w:rPr>
          <w:color w:val="000000"/>
        </w:rPr>
      </w:pPr>
      <w:r>
        <w:rPr>
          <w:rFonts w:eastAsia="黑体"/>
          <w:color w:val="000000"/>
          <w:kern w:val="0"/>
          <w:sz w:val="31"/>
          <w:szCs w:val="31"/>
          <w:lang w:bidi="ar"/>
        </w:rPr>
        <w:t xml:space="preserve">自评结论 </w:t>
      </w:r>
    </w:p>
    <w:p>
      <w:pPr>
        <w:widowControl/>
        <w:spacing w:line="540" w:lineRule="exact"/>
        <w:ind w:firstLine="620" w:firstLineChars="200"/>
        <w:jc w:val="left"/>
        <w:rPr>
          <w:rFonts w:eastAsia="楷体_GB2312"/>
          <w:color w:val="000000"/>
          <w:kern w:val="0"/>
          <w:sz w:val="31"/>
          <w:szCs w:val="31"/>
          <w:lang w:bidi="ar"/>
        </w:rPr>
      </w:pPr>
      <w:r>
        <w:rPr>
          <w:rFonts w:eastAsia="楷体_GB2312"/>
          <w:color w:val="000000"/>
          <w:kern w:val="0"/>
          <w:sz w:val="31"/>
          <w:szCs w:val="31"/>
          <w:lang w:bidi="ar"/>
        </w:rPr>
        <w:t xml:space="preserve">一、自评得分 </w:t>
      </w:r>
    </w:p>
    <w:p>
      <w:pPr>
        <w:widowControl/>
        <w:spacing w:line="540" w:lineRule="exact"/>
        <w:ind w:firstLine="620" w:firstLineChars="200"/>
        <w:jc w:val="left"/>
        <w:rPr>
          <w:color w:val="000000"/>
          <w:kern w:val="0"/>
          <w:sz w:val="31"/>
          <w:szCs w:val="31"/>
          <w:lang w:bidi="ar"/>
        </w:rPr>
      </w:pPr>
      <w:r>
        <w:rPr>
          <w:color w:val="000000"/>
          <w:kern w:val="0"/>
          <w:sz w:val="31"/>
          <w:szCs w:val="31"/>
          <w:lang w:bidi="ar"/>
        </w:rPr>
        <w:t>经综合评价，</w:t>
      </w:r>
      <w:r>
        <w:rPr>
          <w:rFonts w:hint="eastAsia"/>
          <w:color w:val="000000"/>
          <w:kern w:val="0"/>
          <w:sz w:val="31"/>
          <w:szCs w:val="31"/>
          <w:lang w:val="en-US" w:eastAsia="zh-CN" w:bidi="ar"/>
        </w:rPr>
        <w:t>九宫山</w:t>
      </w:r>
      <w:r>
        <w:rPr>
          <w:color w:val="000000"/>
          <w:kern w:val="0"/>
          <w:sz w:val="31"/>
          <w:szCs w:val="31"/>
          <w:lang w:bidi="ar"/>
        </w:rPr>
        <w:t>镇财政所202</w:t>
      </w:r>
      <w:r>
        <w:rPr>
          <w:rFonts w:hint="eastAsia"/>
          <w:color w:val="000000"/>
          <w:kern w:val="0"/>
          <w:sz w:val="31"/>
          <w:szCs w:val="31"/>
          <w:lang w:val="en-US" w:eastAsia="zh-CN" w:bidi="ar"/>
        </w:rPr>
        <w:t>4</w:t>
      </w:r>
      <w:r>
        <w:rPr>
          <w:color w:val="000000"/>
          <w:kern w:val="0"/>
          <w:sz w:val="31"/>
          <w:szCs w:val="31"/>
          <w:lang w:bidi="ar"/>
        </w:rPr>
        <w:t>度部门整体支出综合评分为 9</w:t>
      </w:r>
      <w:r>
        <w:rPr>
          <w:rFonts w:hint="eastAsia"/>
          <w:color w:val="000000"/>
          <w:kern w:val="0"/>
          <w:sz w:val="31"/>
          <w:szCs w:val="31"/>
          <w:lang w:val="en-US" w:eastAsia="zh-CN" w:bidi="ar"/>
        </w:rPr>
        <w:t>8</w:t>
      </w:r>
      <w:r>
        <w:rPr>
          <w:color w:val="000000"/>
          <w:kern w:val="0"/>
          <w:sz w:val="31"/>
          <w:szCs w:val="31"/>
          <w:lang w:bidi="ar"/>
        </w:rPr>
        <w:t xml:space="preserve">分。 </w:t>
      </w:r>
    </w:p>
    <w:p>
      <w:pPr>
        <w:widowControl/>
        <w:spacing w:line="540" w:lineRule="exact"/>
        <w:ind w:firstLine="620" w:firstLineChars="200"/>
        <w:jc w:val="left"/>
        <w:rPr>
          <w:rFonts w:eastAsia="楷体_GB2312"/>
          <w:color w:val="000000"/>
          <w:kern w:val="0"/>
          <w:sz w:val="31"/>
          <w:szCs w:val="31"/>
          <w:lang w:bidi="ar"/>
        </w:rPr>
      </w:pPr>
      <w:r>
        <w:rPr>
          <w:rFonts w:eastAsia="楷体_GB2312"/>
          <w:color w:val="000000"/>
          <w:kern w:val="0"/>
          <w:sz w:val="31"/>
          <w:szCs w:val="31"/>
          <w:lang w:bidi="ar"/>
        </w:rPr>
        <w:t xml:space="preserve">二、绩效目标完成情况 </w:t>
      </w:r>
    </w:p>
    <w:p>
      <w:pPr>
        <w:widowControl/>
        <w:spacing w:line="540" w:lineRule="exact"/>
        <w:ind w:firstLine="620" w:firstLineChars="200"/>
        <w:jc w:val="left"/>
        <w:rPr>
          <w:color w:val="000000"/>
          <w:kern w:val="0"/>
          <w:sz w:val="31"/>
          <w:szCs w:val="31"/>
          <w:lang w:bidi="ar"/>
        </w:rPr>
      </w:pPr>
      <w:r>
        <w:rPr>
          <w:color w:val="000000"/>
          <w:kern w:val="0"/>
          <w:sz w:val="31"/>
          <w:szCs w:val="31"/>
          <w:lang w:bidi="ar"/>
        </w:rPr>
        <w:t xml:space="preserve">（一）执行率情况 </w:t>
      </w:r>
    </w:p>
    <w:p>
      <w:pPr>
        <w:widowControl/>
        <w:spacing w:line="540" w:lineRule="exact"/>
        <w:ind w:firstLine="620" w:firstLineChars="200"/>
        <w:jc w:val="left"/>
        <w:rPr>
          <w:color w:val="000000"/>
          <w:kern w:val="0"/>
          <w:sz w:val="31"/>
          <w:szCs w:val="31"/>
          <w:lang w:bidi="ar"/>
        </w:rPr>
      </w:pPr>
      <w:r>
        <w:rPr>
          <w:color w:val="000000"/>
          <w:kern w:val="0"/>
          <w:sz w:val="31"/>
          <w:szCs w:val="31"/>
          <w:lang w:bidi="ar"/>
        </w:rPr>
        <w:t>202</w:t>
      </w:r>
      <w:r>
        <w:rPr>
          <w:rFonts w:hint="eastAsia"/>
          <w:color w:val="000000"/>
          <w:kern w:val="0"/>
          <w:sz w:val="31"/>
          <w:szCs w:val="31"/>
          <w:lang w:val="en-US" w:eastAsia="zh-CN" w:bidi="ar"/>
        </w:rPr>
        <w:t>4</w:t>
      </w:r>
      <w:r>
        <w:rPr>
          <w:color w:val="000000"/>
          <w:kern w:val="0"/>
          <w:sz w:val="31"/>
          <w:szCs w:val="31"/>
          <w:lang w:bidi="ar"/>
        </w:rPr>
        <w:t>年初预算金额</w:t>
      </w:r>
      <w:r>
        <w:rPr>
          <w:rFonts w:hint="eastAsia"/>
          <w:color w:val="000000"/>
          <w:kern w:val="0"/>
          <w:sz w:val="31"/>
          <w:szCs w:val="31"/>
          <w:lang w:val="en-US" w:eastAsia="zh-CN" w:bidi="ar"/>
        </w:rPr>
        <w:t>378.49</w:t>
      </w:r>
      <w:r>
        <w:rPr>
          <w:color w:val="000000"/>
          <w:kern w:val="0"/>
          <w:sz w:val="31"/>
          <w:szCs w:val="31"/>
          <w:lang w:bidi="ar"/>
        </w:rPr>
        <w:t>万元（基本支出</w:t>
      </w:r>
      <w:r>
        <w:rPr>
          <w:rFonts w:hint="eastAsia"/>
          <w:color w:val="000000"/>
          <w:kern w:val="0"/>
          <w:sz w:val="31"/>
          <w:szCs w:val="31"/>
          <w:lang w:val="en-US" w:eastAsia="zh-CN" w:bidi="ar"/>
        </w:rPr>
        <w:t>81.5</w:t>
      </w:r>
      <w:r>
        <w:rPr>
          <w:color w:val="000000"/>
          <w:kern w:val="0"/>
          <w:sz w:val="31"/>
          <w:szCs w:val="31"/>
          <w:lang w:bidi="ar"/>
        </w:rPr>
        <w:t>万元、项目支出</w:t>
      </w:r>
      <w:r>
        <w:rPr>
          <w:rFonts w:hint="eastAsia"/>
          <w:color w:val="000000"/>
          <w:kern w:val="0"/>
          <w:sz w:val="31"/>
          <w:szCs w:val="31"/>
          <w:lang w:val="en-US" w:eastAsia="zh-CN" w:bidi="ar"/>
        </w:rPr>
        <w:t>296.99</w:t>
      </w:r>
      <w:r>
        <w:rPr>
          <w:color w:val="000000"/>
          <w:kern w:val="0"/>
          <w:sz w:val="31"/>
          <w:szCs w:val="31"/>
          <w:lang w:bidi="ar"/>
        </w:rPr>
        <w:t>万元），调整后预算金额</w:t>
      </w:r>
      <w:r>
        <w:rPr>
          <w:rFonts w:hint="eastAsia"/>
          <w:color w:val="000000"/>
          <w:kern w:val="0"/>
          <w:sz w:val="31"/>
          <w:szCs w:val="31"/>
          <w:lang w:val="en-US" w:eastAsia="zh-CN" w:bidi="ar"/>
        </w:rPr>
        <w:t>424.37</w:t>
      </w:r>
      <w:r>
        <w:rPr>
          <w:color w:val="000000"/>
          <w:kern w:val="0"/>
          <w:sz w:val="31"/>
          <w:szCs w:val="31"/>
          <w:lang w:bidi="ar"/>
        </w:rPr>
        <w:t>万元，执行数</w:t>
      </w:r>
      <w:r>
        <w:rPr>
          <w:rFonts w:hint="eastAsia"/>
          <w:color w:val="000000"/>
          <w:kern w:val="0"/>
          <w:sz w:val="31"/>
          <w:szCs w:val="31"/>
          <w:lang w:val="en-US" w:eastAsia="zh-CN" w:bidi="ar"/>
        </w:rPr>
        <w:t>424.37</w:t>
      </w:r>
      <w:r>
        <w:rPr>
          <w:color w:val="000000"/>
          <w:kern w:val="0"/>
          <w:sz w:val="31"/>
          <w:szCs w:val="31"/>
          <w:lang w:bidi="ar"/>
        </w:rPr>
        <w:t xml:space="preserve">万元，资金执行率 100%。 </w:t>
      </w:r>
    </w:p>
    <w:p>
      <w:pPr>
        <w:widowControl/>
        <w:spacing w:line="540" w:lineRule="exact"/>
        <w:ind w:firstLine="620" w:firstLineChars="200"/>
        <w:jc w:val="left"/>
        <w:rPr>
          <w:color w:val="000000"/>
          <w:kern w:val="0"/>
          <w:sz w:val="31"/>
          <w:szCs w:val="31"/>
          <w:lang w:bidi="ar"/>
        </w:rPr>
      </w:pPr>
      <w:r>
        <w:rPr>
          <w:color w:val="000000"/>
          <w:kern w:val="0"/>
          <w:sz w:val="31"/>
          <w:szCs w:val="31"/>
          <w:lang w:bidi="ar"/>
        </w:rPr>
        <w:t xml:space="preserve">（二）完成的绩效目标 </w:t>
      </w:r>
    </w:p>
    <w:p>
      <w:pPr>
        <w:widowControl/>
        <w:spacing w:line="540" w:lineRule="exact"/>
        <w:ind w:firstLine="620" w:firstLineChars="200"/>
        <w:jc w:val="left"/>
        <w:rPr>
          <w:color w:val="000000"/>
          <w:kern w:val="0"/>
          <w:sz w:val="31"/>
          <w:szCs w:val="31"/>
          <w:lang w:bidi="ar"/>
        </w:rPr>
      </w:pPr>
      <w:r>
        <w:rPr>
          <w:color w:val="000000"/>
          <w:kern w:val="0"/>
          <w:sz w:val="31"/>
          <w:szCs w:val="31"/>
          <w:lang w:bidi="ar"/>
        </w:rPr>
        <w:t>202</w:t>
      </w:r>
      <w:r>
        <w:rPr>
          <w:rFonts w:hint="eastAsia"/>
          <w:color w:val="000000"/>
          <w:kern w:val="0"/>
          <w:sz w:val="31"/>
          <w:szCs w:val="31"/>
          <w:lang w:val="en-US" w:eastAsia="zh-CN" w:bidi="ar"/>
        </w:rPr>
        <w:t>4</w:t>
      </w:r>
      <w:r>
        <w:rPr>
          <w:color w:val="000000"/>
          <w:kern w:val="0"/>
          <w:sz w:val="31"/>
          <w:szCs w:val="31"/>
          <w:lang w:bidi="ar"/>
        </w:rPr>
        <w:t>年共设置1</w:t>
      </w:r>
      <w:r>
        <w:rPr>
          <w:rFonts w:hint="eastAsia"/>
          <w:color w:val="000000"/>
          <w:kern w:val="0"/>
          <w:sz w:val="31"/>
          <w:szCs w:val="31"/>
          <w:lang w:val="en-US" w:eastAsia="zh-CN" w:bidi="ar"/>
        </w:rPr>
        <w:t>1</w:t>
      </w:r>
      <w:r>
        <w:rPr>
          <w:color w:val="000000"/>
          <w:kern w:val="0"/>
          <w:sz w:val="31"/>
          <w:szCs w:val="31"/>
          <w:lang w:bidi="ar"/>
        </w:rPr>
        <w:t>个绩效指标，完成绩效目标的指标1</w:t>
      </w:r>
      <w:r>
        <w:rPr>
          <w:rFonts w:hint="eastAsia"/>
          <w:color w:val="000000"/>
          <w:kern w:val="0"/>
          <w:sz w:val="31"/>
          <w:szCs w:val="31"/>
          <w:lang w:val="en-US" w:eastAsia="zh-CN" w:bidi="ar"/>
        </w:rPr>
        <w:t>0</w:t>
      </w:r>
      <w:r>
        <w:rPr>
          <w:color w:val="000000"/>
          <w:kern w:val="0"/>
          <w:sz w:val="31"/>
          <w:szCs w:val="31"/>
          <w:lang w:bidi="ar"/>
        </w:rPr>
        <w:t>个。</w:t>
      </w:r>
    </w:p>
    <w:p>
      <w:pPr>
        <w:widowControl/>
        <w:spacing w:line="540" w:lineRule="exact"/>
        <w:ind w:firstLine="620" w:firstLineChars="200"/>
        <w:jc w:val="left"/>
        <w:rPr>
          <w:color w:val="000000"/>
          <w:kern w:val="0"/>
          <w:sz w:val="31"/>
          <w:szCs w:val="31"/>
          <w:lang w:bidi="ar"/>
        </w:rPr>
      </w:pPr>
      <w:r>
        <w:rPr>
          <w:color w:val="000000"/>
          <w:kern w:val="0"/>
          <w:sz w:val="31"/>
          <w:szCs w:val="31"/>
          <w:lang w:bidi="ar"/>
        </w:rPr>
        <w:t xml:space="preserve">（三）未完成的绩效目标 </w:t>
      </w:r>
    </w:p>
    <w:p>
      <w:pPr>
        <w:widowControl/>
        <w:spacing w:line="540" w:lineRule="exact"/>
        <w:ind w:firstLine="620" w:firstLineChars="200"/>
        <w:jc w:val="left"/>
        <w:rPr>
          <w:color w:val="000000"/>
          <w:kern w:val="0"/>
          <w:sz w:val="31"/>
          <w:szCs w:val="31"/>
          <w:lang w:bidi="ar"/>
        </w:rPr>
      </w:pPr>
      <w:r>
        <w:rPr>
          <w:color w:val="000000"/>
          <w:kern w:val="0"/>
          <w:sz w:val="31"/>
          <w:szCs w:val="31"/>
          <w:lang w:bidi="ar"/>
        </w:rPr>
        <w:t>受益群众满意度等</w:t>
      </w:r>
      <w:r>
        <w:rPr>
          <w:rFonts w:hint="eastAsia"/>
          <w:color w:val="000000"/>
          <w:kern w:val="0"/>
          <w:sz w:val="31"/>
          <w:szCs w:val="31"/>
          <w:lang w:val="en-US" w:eastAsia="zh-CN" w:bidi="ar"/>
        </w:rPr>
        <w:t>一</w:t>
      </w:r>
      <w:r>
        <w:rPr>
          <w:color w:val="000000"/>
          <w:kern w:val="0"/>
          <w:sz w:val="31"/>
          <w:szCs w:val="31"/>
          <w:lang w:bidi="ar"/>
        </w:rPr>
        <w:t xml:space="preserve">个绩效指标未完成年初绩效目标。 </w:t>
      </w:r>
    </w:p>
    <w:p>
      <w:pPr>
        <w:widowControl/>
        <w:spacing w:line="540" w:lineRule="exact"/>
        <w:ind w:firstLine="620" w:firstLineChars="200"/>
        <w:jc w:val="left"/>
        <w:rPr>
          <w:rFonts w:eastAsia="楷体"/>
          <w:color w:val="000000"/>
          <w:kern w:val="0"/>
          <w:sz w:val="31"/>
          <w:szCs w:val="31"/>
          <w:lang w:bidi="ar"/>
        </w:rPr>
      </w:pPr>
      <w:r>
        <w:rPr>
          <w:rFonts w:eastAsia="楷体"/>
          <w:color w:val="000000"/>
          <w:kern w:val="0"/>
          <w:sz w:val="31"/>
          <w:szCs w:val="31"/>
          <w:lang w:bidi="ar"/>
        </w:rPr>
        <w:t xml:space="preserve">三、存在的问题 </w:t>
      </w:r>
    </w:p>
    <w:p>
      <w:pPr>
        <w:pStyle w:val="3"/>
        <w:ind w:firstLine="640" w:firstLineChars="200"/>
        <w:rPr>
          <w:color w:val="000000"/>
          <w:lang w:bidi="ar"/>
        </w:rPr>
      </w:pPr>
      <w:r>
        <w:rPr>
          <w:color w:val="000000"/>
          <w:lang w:bidi="ar"/>
        </w:rPr>
        <w:t>（一）政策宣传不够。</w:t>
      </w:r>
    </w:p>
    <w:p>
      <w:pPr>
        <w:pStyle w:val="3"/>
        <w:ind w:firstLine="640" w:firstLineChars="200"/>
        <w:rPr>
          <w:color w:val="000000"/>
          <w:lang w:bidi="ar"/>
        </w:rPr>
      </w:pPr>
      <w:r>
        <w:rPr>
          <w:color w:val="000000"/>
          <w:lang w:bidi="ar"/>
        </w:rPr>
        <w:t>（二）年度部分指标值（合格率）有待进一步提高。</w:t>
      </w:r>
    </w:p>
    <w:p>
      <w:pPr>
        <w:widowControl/>
        <w:spacing w:line="540" w:lineRule="exact"/>
        <w:ind w:firstLine="620" w:firstLineChars="200"/>
        <w:jc w:val="left"/>
        <w:rPr>
          <w:rFonts w:eastAsia="楷体"/>
          <w:color w:val="000000"/>
          <w:kern w:val="0"/>
          <w:sz w:val="31"/>
          <w:szCs w:val="31"/>
          <w:lang w:bidi="ar"/>
        </w:rPr>
      </w:pPr>
      <w:r>
        <w:rPr>
          <w:rFonts w:eastAsia="楷体"/>
          <w:color w:val="000000"/>
          <w:kern w:val="0"/>
          <w:sz w:val="31"/>
          <w:szCs w:val="31"/>
          <w:lang w:bidi="ar"/>
        </w:rPr>
        <w:t>四、下一步的改进措施</w:t>
      </w:r>
      <w:r>
        <w:rPr>
          <w:rFonts w:eastAsia="楷体_GB2312"/>
          <w:color w:val="000000"/>
          <w:kern w:val="0"/>
          <w:sz w:val="31"/>
          <w:szCs w:val="31"/>
          <w:lang w:bidi="ar"/>
        </w:rPr>
        <w:t xml:space="preserve"> </w:t>
      </w:r>
      <w:r>
        <w:rPr>
          <w:color w:val="000000"/>
          <w:kern w:val="0"/>
          <w:sz w:val="31"/>
          <w:szCs w:val="31"/>
          <w:lang w:bidi="ar"/>
        </w:rPr>
        <w:t xml:space="preserve"> </w:t>
      </w:r>
    </w:p>
    <w:p>
      <w:pPr>
        <w:widowControl/>
        <w:spacing w:line="540" w:lineRule="exact"/>
        <w:ind w:firstLine="620" w:firstLineChars="200"/>
        <w:rPr>
          <w:color w:val="000000"/>
          <w:kern w:val="0"/>
          <w:sz w:val="31"/>
          <w:szCs w:val="31"/>
          <w:lang w:bidi="ar"/>
        </w:rPr>
      </w:pPr>
      <w:r>
        <w:rPr>
          <w:color w:val="000000"/>
          <w:kern w:val="0"/>
          <w:sz w:val="31"/>
          <w:szCs w:val="31"/>
          <w:lang w:bidi="ar"/>
        </w:rPr>
        <w:t>（一） 积极宣扬财政法律知识和财政政策，提高群众政策知晓程度。</w:t>
      </w:r>
    </w:p>
    <w:p>
      <w:pPr>
        <w:widowControl/>
        <w:spacing w:line="540" w:lineRule="exact"/>
        <w:ind w:firstLine="620" w:firstLineChars="200"/>
        <w:rPr>
          <w:color w:val="000000"/>
          <w:kern w:val="0"/>
          <w:sz w:val="31"/>
          <w:szCs w:val="31"/>
          <w:lang w:bidi="ar"/>
        </w:rPr>
      </w:pPr>
      <w:r>
        <w:rPr>
          <w:color w:val="000000"/>
          <w:kern w:val="0"/>
          <w:sz w:val="31"/>
          <w:szCs w:val="31"/>
          <w:lang w:bidi="ar"/>
        </w:rPr>
        <w:t>（二）热情接待来访群众，耐性做好群众解释工作。</w:t>
      </w:r>
    </w:p>
    <w:p>
      <w:pPr>
        <w:widowControl/>
        <w:spacing w:line="540" w:lineRule="exact"/>
        <w:ind w:firstLine="620" w:firstLineChars="200"/>
        <w:jc w:val="left"/>
        <w:rPr>
          <w:color w:val="000000"/>
          <w:kern w:val="0"/>
          <w:sz w:val="31"/>
          <w:szCs w:val="31"/>
          <w:lang w:bidi="ar"/>
        </w:rPr>
      </w:pPr>
      <w:r>
        <w:rPr>
          <w:color w:val="000000"/>
          <w:kern w:val="0"/>
          <w:sz w:val="31"/>
          <w:szCs w:val="31"/>
          <w:lang w:bidi="ar"/>
        </w:rPr>
        <w:t>（三）进一步优化部门整体支出绩效评价指标，力求科学，实用。</w:t>
      </w:r>
    </w:p>
    <w:p>
      <w:pPr>
        <w:jc w:val="center"/>
        <w:rPr>
          <w:rFonts w:eastAsia="方正小标宋简体"/>
          <w:color w:val="000000"/>
          <w:sz w:val="36"/>
          <w:szCs w:val="36"/>
        </w:rPr>
      </w:pPr>
      <w:r>
        <w:rPr>
          <w:rFonts w:eastAsia="方正小标宋简体"/>
          <w:color w:val="000000"/>
          <w:sz w:val="36"/>
          <w:szCs w:val="36"/>
        </w:rPr>
        <w:t>202</w:t>
      </w:r>
      <w:r>
        <w:rPr>
          <w:rFonts w:hint="eastAsia" w:eastAsia="方正小标宋简体"/>
          <w:color w:val="000000"/>
          <w:sz w:val="36"/>
          <w:szCs w:val="36"/>
          <w:lang w:val="en-US" w:eastAsia="zh-CN"/>
        </w:rPr>
        <w:t>4</w:t>
      </w:r>
      <w:r>
        <w:rPr>
          <w:rFonts w:hint="eastAsia" w:eastAsia="宋体"/>
          <w:color w:val="000000"/>
          <w:sz w:val="36"/>
          <w:szCs w:val="36"/>
          <w:lang w:val="en-US" w:eastAsia="zh-CN"/>
        </w:rPr>
        <w:t>年</w:t>
      </w:r>
      <w:r>
        <w:rPr>
          <w:rFonts w:hint="eastAsia" w:eastAsia="方正小标宋简体"/>
          <w:color w:val="000000"/>
          <w:sz w:val="36"/>
          <w:szCs w:val="36"/>
          <w:lang w:val="en-US" w:eastAsia="zh-CN"/>
        </w:rPr>
        <w:t>九宫山</w:t>
      </w:r>
      <w:r>
        <w:rPr>
          <w:rFonts w:eastAsia="方正小标宋简体"/>
          <w:color w:val="000000"/>
          <w:sz w:val="36"/>
          <w:szCs w:val="36"/>
        </w:rPr>
        <w:t>镇财政所整体绩效自评表</w:t>
      </w:r>
    </w:p>
    <w:p>
      <w:pPr>
        <w:pStyle w:val="3"/>
        <w:rPr>
          <w:color w:val="000000"/>
        </w:rPr>
      </w:pPr>
    </w:p>
    <w:tbl>
      <w:tblPr>
        <w:tblStyle w:val="8"/>
        <w:tblW w:w="10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64"/>
        <w:gridCol w:w="1134"/>
        <w:gridCol w:w="1556"/>
        <w:gridCol w:w="966"/>
        <w:gridCol w:w="825"/>
        <w:gridCol w:w="593"/>
        <w:gridCol w:w="6"/>
        <w:gridCol w:w="1529"/>
        <w:gridCol w:w="22"/>
        <w:gridCol w:w="1240"/>
        <w:gridCol w:w="6"/>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29" w:type="dxa"/>
            <w:gridSpan w:val="2"/>
            <w:noWrap w:val="0"/>
            <w:vAlign w:val="center"/>
          </w:tcPr>
          <w:p>
            <w:pPr>
              <w:widowControl/>
              <w:spacing w:line="300" w:lineRule="exact"/>
              <w:ind w:firstLine="210" w:firstLineChars="100"/>
              <w:jc w:val="left"/>
              <w:rPr>
                <w:color w:val="000000"/>
                <w:kern w:val="0"/>
                <w:sz w:val="21"/>
                <w:szCs w:val="21"/>
              </w:rPr>
            </w:pPr>
            <w:r>
              <w:rPr>
                <w:color w:val="000000"/>
                <w:kern w:val="0"/>
                <w:sz w:val="21"/>
                <w:szCs w:val="21"/>
              </w:rPr>
              <w:t>单位名称</w:t>
            </w:r>
          </w:p>
        </w:tc>
        <w:tc>
          <w:tcPr>
            <w:tcW w:w="8657" w:type="dxa"/>
            <w:gridSpan w:val="11"/>
            <w:noWrap w:val="0"/>
            <w:vAlign w:val="center"/>
          </w:tcPr>
          <w:p>
            <w:pPr>
              <w:widowControl/>
              <w:spacing w:line="300" w:lineRule="exact"/>
              <w:jc w:val="left"/>
              <w:rPr>
                <w:color w:val="000000"/>
                <w:kern w:val="0"/>
                <w:sz w:val="21"/>
                <w:szCs w:val="21"/>
              </w:rPr>
            </w:pPr>
            <w:r>
              <w:rPr>
                <w:color w:val="000000"/>
                <w:kern w:val="0"/>
                <w:sz w:val="21"/>
                <w:szCs w:val="21"/>
              </w:rPr>
              <w:t>通山县</w:t>
            </w:r>
            <w:r>
              <w:rPr>
                <w:rFonts w:hint="eastAsia"/>
                <w:color w:val="000000"/>
                <w:kern w:val="0"/>
                <w:sz w:val="21"/>
                <w:szCs w:val="21"/>
                <w:lang w:val="en-US" w:eastAsia="zh-CN"/>
              </w:rPr>
              <w:t>九宫山</w:t>
            </w:r>
            <w:r>
              <w:rPr>
                <w:color w:val="000000"/>
                <w:kern w:val="0"/>
                <w:sz w:val="21"/>
                <w:szCs w:val="21"/>
              </w:rPr>
              <w:t>镇财政所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29" w:type="dxa"/>
            <w:gridSpan w:val="2"/>
            <w:noWrap w:val="0"/>
            <w:vAlign w:val="center"/>
          </w:tcPr>
          <w:p>
            <w:pPr>
              <w:widowControl/>
              <w:spacing w:line="300" w:lineRule="exact"/>
              <w:ind w:firstLine="210" w:firstLineChars="100"/>
              <w:jc w:val="left"/>
              <w:rPr>
                <w:color w:val="000000"/>
                <w:kern w:val="0"/>
                <w:sz w:val="21"/>
                <w:szCs w:val="21"/>
              </w:rPr>
            </w:pPr>
            <w:r>
              <w:rPr>
                <w:color w:val="000000"/>
                <w:kern w:val="0"/>
                <w:sz w:val="21"/>
                <w:szCs w:val="21"/>
              </w:rPr>
              <w:t>基本支出</w:t>
            </w:r>
          </w:p>
        </w:tc>
        <w:tc>
          <w:tcPr>
            <w:tcW w:w="3656" w:type="dxa"/>
            <w:gridSpan w:val="3"/>
            <w:noWrap w:val="0"/>
            <w:vAlign w:val="center"/>
          </w:tcPr>
          <w:p>
            <w:pPr>
              <w:widowControl/>
              <w:spacing w:line="300" w:lineRule="exact"/>
              <w:jc w:val="center"/>
              <w:rPr>
                <w:rFonts w:hint="default" w:eastAsia="仿宋_GB2312"/>
                <w:color w:val="000000"/>
                <w:kern w:val="0"/>
                <w:sz w:val="21"/>
                <w:szCs w:val="21"/>
                <w:lang w:val="en-US" w:eastAsia="zh-CN"/>
              </w:rPr>
            </w:pPr>
            <w:r>
              <w:rPr>
                <w:rFonts w:hint="eastAsia"/>
                <w:color w:val="000000"/>
                <w:kern w:val="0"/>
                <w:sz w:val="21"/>
                <w:szCs w:val="21"/>
                <w:lang w:val="en-US" w:eastAsia="zh-CN"/>
              </w:rPr>
              <w:t>399.37</w:t>
            </w:r>
          </w:p>
        </w:tc>
        <w:tc>
          <w:tcPr>
            <w:tcW w:w="2975" w:type="dxa"/>
            <w:gridSpan w:val="5"/>
            <w:noWrap w:val="0"/>
            <w:vAlign w:val="center"/>
          </w:tcPr>
          <w:p>
            <w:pPr>
              <w:widowControl/>
              <w:spacing w:line="300" w:lineRule="exact"/>
              <w:jc w:val="center"/>
              <w:rPr>
                <w:color w:val="000000"/>
                <w:kern w:val="0"/>
                <w:sz w:val="21"/>
                <w:szCs w:val="21"/>
              </w:rPr>
            </w:pPr>
            <w:r>
              <w:rPr>
                <w:color w:val="000000"/>
                <w:kern w:val="0"/>
                <w:sz w:val="21"/>
                <w:szCs w:val="21"/>
              </w:rPr>
              <w:t>项目支出</w:t>
            </w:r>
          </w:p>
        </w:tc>
        <w:tc>
          <w:tcPr>
            <w:tcW w:w="2026" w:type="dxa"/>
            <w:gridSpan w:val="3"/>
            <w:noWrap w:val="0"/>
            <w:vAlign w:val="center"/>
          </w:tcPr>
          <w:p>
            <w:pPr>
              <w:widowControl/>
              <w:spacing w:line="300" w:lineRule="exact"/>
              <w:jc w:val="center"/>
              <w:rPr>
                <w:rFonts w:hint="default" w:eastAsia="仿宋_GB2312"/>
                <w:color w:val="000000"/>
                <w:kern w:val="0"/>
                <w:sz w:val="21"/>
                <w:szCs w:val="21"/>
                <w:lang w:val="en-US" w:eastAsia="zh-CN"/>
              </w:rPr>
            </w:pPr>
            <w:r>
              <w:rPr>
                <w:rFonts w:hint="eastAsia"/>
                <w:color w:val="000000"/>
                <w:kern w:val="0"/>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gridSpan w:val="2"/>
            <w:vMerge w:val="restart"/>
            <w:noWrap w:val="0"/>
            <w:vAlign w:val="center"/>
          </w:tcPr>
          <w:p>
            <w:pPr>
              <w:widowControl/>
              <w:spacing w:line="300" w:lineRule="exact"/>
              <w:jc w:val="center"/>
              <w:rPr>
                <w:color w:val="000000"/>
                <w:kern w:val="0"/>
                <w:sz w:val="21"/>
                <w:szCs w:val="21"/>
              </w:rPr>
            </w:pPr>
            <w:r>
              <w:rPr>
                <w:color w:val="000000"/>
                <w:kern w:val="0"/>
                <w:sz w:val="21"/>
                <w:szCs w:val="21"/>
              </w:rPr>
              <w:t>预算执行情况    （万元）         20分</w:t>
            </w:r>
          </w:p>
        </w:tc>
        <w:tc>
          <w:tcPr>
            <w:tcW w:w="1134" w:type="dxa"/>
            <w:noWrap w:val="0"/>
            <w:vAlign w:val="center"/>
          </w:tcPr>
          <w:p>
            <w:pPr>
              <w:widowControl/>
              <w:spacing w:line="300" w:lineRule="exact"/>
              <w:jc w:val="center"/>
              <w:rPr>
                <w:color w:val="000000"/>
                <w:kern w:val="0"/>
                <w:sz w:val="21"/>
                <w:szCs w:val="21"/>
              </w:rPr>
            </w:pPr>
            <w:r>
              <w:rPr>
                <w:color w:val="000000"/>
                <w:kern w:val="0"/>
                <w:sz w:val="21"/>
                <w:szCs w:val="21"/>
              </w:rPr>
              <w:t>项目</w:t>
            </w:r>
          </w:p>
        </w:tc>
        <w:tc>
          <w:tcPr>
            <w:tcW w:w="1556" w:type="dxa"/>
            <w:noWrap w:val="0"/>
            <w:vAlign w:val="center"/>
          </w:tcPr>
          <w:p>
            <w:pPr>
              <w:widowControl/>
              <w:spacing w:line="300" w:lineRule="exact"/>
              <w:jc w:val="center"/>
              <w:rPr>
                <w:color w:val="000000"/>
                <w:kern w:val="0"/>
                <w:sz w:val="21"/>
                <w:szCs w:val="21"/>
              </w:rPr>
            </w:pPr>
            <w:r>
              <w:rPr>
                <w:color w:val="000000"/>
                <w:kern w:val="0"/>
                <w:sz w:val="21"/>
                <w:szCs w:val="21"/>
              </w:rPr>
              <w:t>预算数（A）</w:t>
            </w:r>
          </w:p>
        </w:tc>
        <w:tc>
          <w:tcPr>
            <w:tcW w:w="1791" w:type="dxa"/>
            <w:gridSpan w:val="2"/>
            <w:noWrap w:val="0"/>
            <w:vAlign w:val="center"/>
          </w:tcPr>
          <w:p>
            <w:pPr>
              <w:widowControl/>
              <w:spacing w:line="300" w:lineRule="exact"/>
              <w:jc w:val="center"/>
              <w:rPr>
                <w:color w:val="000000"/>
                <w:kern w:val="0"/>
                <w:sz w:val="21"/>
                <w:szCs w:val="21"/>
              </w:rPr>
            </w:pPr>
            <w:r>
              <w:rPr>
                <w:color w:val="000000"/>
                <w:kern w:val="0"/>
                <w:sz w:val="21"/>
                <w:szCs w:val="21"/>
              </w:rPr>
              <w:t>执行数（B）</w:t>
            </w:r>
          </w:p>
        </w:tc>
        <w:tc>
          <w:tcPr>
            <w:tcW w:w="2150" w:type="dxa"/>
            <w:gridSpan w:val="4"/>
            <w:noWrap w:val="0"/>
            <w:vAlign w:val="center"/>
          </w:tcPr>
          <w:p>
            <w:pPr>
              <w:widowControl/>
              <w:spacing w:line="300" w:lineRule="exact"/>
              <w:jc w:val="center"/>
              <w:rPr>
                <w:color w:val="000000"/>
                <w:kern w:val="0"/>
                <w:sz w:val="21"/>
                <w:szCs w:val="21"/>
              </w:rPr>
            </w:pPr>
            <w:r>
              <w:rPr>
                <w:color w:val="000000"/>
                <w:kern w:val="0"/>
                <w:sz w:val="21"/>
                <w:szCs w:val="21"/>
              </w:rPr>
              <w:t>执行率（B/A）</w:t>
            </w:r>
          </w:p>
        </w:tc>
        <w:tc>
          <w:tcPr>
            <w:tcW w:w="2026" w:type="dxa"/>
            <w:gridSpan w:val="3"/>
            <w:noWrap w:val="0"/>
            <w:vAlign w:val="center"/>
          </w:tcPr>
          <w:p>
            <w:pPr>
              <w:widowControl/>
              <w:spacing w:line="300" w:lineRule="exact"/>
              <w:jc w:val="center"/>
              <w:rPr>
                <w:color w:val="000000"/>
                <w:kern w:val="0"/>
                <w:sz w:val="21"/>
                <w:szCs w:val="21"/>
              </w:rPr>
            </w:pPr>
            <w:r>
              <w:rPr>
                <w:color w:val="000000"/>
                <w:kern w:val="0"/>
                <w:sz w:val="21"/>
                <w:szCs w:val="21"/>
              </w:rPr>
              <w:t>得分</w:t>
            </w:r>
          </w:p>
          <w:p>
            <w:pPr>
              <w:widowControl/>
              <w:spacing w:line="300" w:lineRule="exact"/>
              <w:jc w:val="center"/>
              <w:rPr>
                <w:color w:val="000000"/>
                <w:kern w:val="0"/>
                <w:sz w:val="21"/>
                <w:szCs w:val="21"/>
              </w:rPr>
            </w:pPr>
            <w:r>
              <w:rPr>
                <w:color w:val="000000"/>
                <w:kern w:val="0"/>
                <w:sz w:val="21"/>
                <w:szCs w:val="21"/>
              </w:rPr>
              <w:t>（20分*执行率）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gridSpan w:val="2"/>
            <w:vMerge w:val="continue"/>
            <w:noWrap w:val="0"/>
            <w:vAlign w:val="center"/>
          </w:tcPr>
          <w:p>
            <w:pPr>
              <w:widowControl/>
              <w:spacing w:line="300" w:lineRule="exact"/>
              <w:jc w:val="center"/>
              <w:rPr>
                <w:color w:val="000000"/>
                <w:kern w:val="0"/>
                <w:sz w:val="21"/>
                <w:szCs w:val="21"/>
              </w:rPr>
            </w:pPr>
          </w:p>
        </w:tc>
        <w:tc>
          <w:tcPr>
            <w:tcW w:w="1134" w:type="dxa"/>
            <w:noWrap w:val="0"/>
            <w:vAlign w:val="center"/>
          </w:tcPr>
          <w:p>
            <w:pPr>
              <w:widowControl/>
              <w:spacing w:line="300" w:lineRule="exact"/>
              <w:jc w:val="center"/>
              <w:rPr>
                <w:color w:val="000000"/>
                <w:kern w:val="0"/>
                <w:sz w:val="21"/>
                <w:szCs w:val="21"/>
              </w:rPr>
            </w:pPr>
            <w:r>
              <w:rPr>
                <w:color w:val="000000"/>
                <w:kern w:val="0"/>
                <w:sz w:val="21"/>
                <w:szCs w:val="21"/>
              </w:rPr>
              <w:t>合计</w:t>
            </w:r>
          </w:p>
        </w:tc>
        <w:tc>
          <w:tcPr>
            <w:tcW w:w="1556" w:type="dxa"/>
            <w:noWrap w:val="0"/>
            <w:vAlign w:val="center"/>
          </w:tcPr>
          <w:p>
            <w:pPr>
              <w:widowControl/>
              <w:spacing w:line="300" w:lineRule="exact"/>
              <w:jc w:val="center"/>
              <w:rPr>
                <w:rFonts w:hint="default" w:eastAsia="仿宋_GB2312"/>
                <w:color w:val="000000"/>
                <w:kern w:val="0"/>
                <w:sz w:val="21"/>
                <w:szCs w:val="21"/>
                <w:lang w:val="en-US" w:eastAsia="zh-CN"/>
              </w:rPr>
            </w:pPr>
            <w:r>
              <w:rPr>
                <w:rFonts w:hint="eastAsia"/>
                <w:color w:val="000000"/>
                <w:kern w:val="0"/>
                <w:sz w:val="21"/>
                <w:szCs w:val="21"/>
                <w:lang w:val="en-US" w:eastAsia="zh-CN"/>
              </w:rPr>
              <w:t>424.37</w:t>
            </w:r>
          </w:p>
        </w:tc>
        <w:tc>
          <w:tcPr>
            <w:tcW w:w="1791" w:type="dxa"/>
            <w:gridSpan w:val="2"/>
            <w:noWrap w:val="0"/>
            <w:vAlign w:val="center"/>
          </w:tcPr>
          <w:p>
            <w:pPr>
              <w:widowControl/>
              <w:spacing w:line="300" w:lineRule="exact"/>
              <w:jc w:val="center"/>
              <w:rPr>
                <w:rFonts w:hint="default" w:eastAsia="仿宋_GB2312"/>
                <w:color w:val="000000"/>
                <w:kern w:val="0"/>
                <w:sz w:val="21"/>
                <w:szCs w:val="21"/>
                <w:lang w:val="en-US" w:eastAsia="zh-CN"/>
              </w:rPr>
            </w:pPr>
            <w:r>
              <w:rPr>
                <w:rFonts w:hint="eastAsia"/>
                <w:color w:val="000000"/>
                <w:kern w:val="0"/>
                <w:sz w:val="21"/>
                <w:szCs w:val="21"/>
                <w:lang w:val="en-US" w:eastAsia="zh-CN"/>
              </w:rPr>
              <w:t>424.37</w:t>
            </w:r>
          </w:p>
        </w:tc>
        <w:tc>
          <w:tcPr>
            <w:tcW w:w="2150" w:type="dxa"/>
            <w:gridSpan w:val="4"/>
            <w:noWrap w:val="0"/>
            <w:vAlign w:val="center"/>
          </w:tcPr>
          <w:p>
            <w:pPr>
              <w:widowControl/>
              <w:spacing w:line="300" w:lineRule="exact"/>
              <w:jc w:val="center"/>
              <w:rPr>
                <w:color w:val="000000"/>
                <w:kern w:val="0"/>
                <w:sz w:val="21"/>
                <w:szCs w:val="21"/>
              </w:rPr>
            </w:pPr>
            <w:r>
              <w:rPr>
                <w:color w:val="000000"/>
                <w:kern w:val="0"/>
                <w:sz w:val="21"/>
                <w:szCs w:val="21"/>
              </w:rPr>
              <w:t>100</w:t>
            </w:r>
          </w:p>
        </w:tc>
        <w:tc>
          <w:tcPr>
            <w:tcW w:w="2026" w:type="dxa"/>
            <w:gridSpan w:val="3"/>
            <w:noWrap w:val="0"/>
            <w:vAlign w:val="center"/>
          </w:tcPr>
          <w:p>
            <w:pPr>
              <w:widowControl/>
              <w:spacing w:line="300" w:lineRule="exact"/>
              <w:jc w:val="center"/>
              <w:rPr>
                <w:color w:val="000000"/>
                <w:kern w:val="0"/>
                <w:sz w:val="21"/>
                <w:szCs w:val="21"/>
              </w:rPr>
            </w:pPr>
            <w:r>
              <w:rPr>
                <w:color w:val="000000"/>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gridSpan w:val="2"/>
            <w:noWrap w:val="0"/>
            <w:vAlign w:val="center"/>
          </w:tcPr>
          <w:p>
            <w:pPr>
              <w:widowControl/>
              <w:spacing w:line="300" w:lineRule="exact"/>
              <w:jc w:val="center"/>
              <w:rPr>
                <w:color w:val="000000"/>
                <w:kern w:val="0"/>
                <w:sz w:val="21"/>
                <w:szCs w:val="21"/>
              </w:rPr>
            </w:pPr>
            <w:r>
              <w:rPr>
                <w:color w:val="000000"/>
                <w:kern w:val="0"/>
                <w:sz w:val="21"/>
                <w:szCs w:val="21"/>
              </w:rPr>
              <w:t>年度绩效</w:t>
            </w:r>
            <w:r>
              <w:rPr>
                <w:rFonts w:hint="eastAsia"/>
                <w:color w:val="000000"/>
                <w:kern w:val="0"/>
                <w:sz w:val="21"/>
                <w:szCs w:val="21"/>
                <w:lang w:val="en-US" w:eastAsia="zh-CN"/>
              </w:rPr>
              <w:t>目标</w:t>
            </w:r>
            <w:r>
              <w:rPr>
                <w:color w:val="000000"/>
                <w:kern w:val="0"/>
                <w:sz w:val="21"/>
                <w:szCs w:val="21"/>
              </w:rPr>
              <w:t>1</w:t>
            </w:r>
          </w:p>
          <w:p>
            <w:pPr>
              <w:widowControl/>
              <w:spacing w:line="300" w:lineRule="exact"/>
              <w:jc w:val="center"/>
              <w:rPr>
                <w:color w:val="000000"/>
                <w:kern w:val="0"/>
                <w:sz w:val="21"/>
                <w:szCs w:val="21"/>
              </w:rPr>
            </w:pPr>
            <w:r>
              <w:rPr>
                <w:color w:val="000000"/>
                <w:kern w:val="0"/>
                <w:sz w:val="21"/>
                <w:szCs w:val="21"/>
              </w:rPr>
              <w:t>60分</w:t>
            </w:r>
          </w:p>
        </w:tc>
        <w:tc>
          <w:tcPr>
            <w:tcW w:w="8657" w:type="dxa"/>
            <w:gridSpan w:val="11"/>
            <w:noWrap w:val="0"/>
            <w:vAlign w:val="center"/>
          </w:tcPr>
          <w:p>
            <w:pPr>
              <w:widowControl/>
              <w:spacing w:line="300" w:lineRule="exact"/>
              <w:jc w:val="left"/>
              <w:rPr>
                <w:color w:val="000000"/>
                <w:kern w:val="0"/>
                <w:sz w:val="21"/>
                <w:szCs w:val="21"/>
              </w:rPr>
            </w:pPr>
            <w:r>
              <w:rPr>
                <w:color w:val="000000"/>
                <w:kern w:val="0"/>
                <w:sz w:val="21"/>
                <w:szCs w:val="21"/>
              </w:rPr>
              <w:t>基本支出：一是工资、养老保险、医疗保险、住房公积金及办公经费支出，保障本单位正常运转；二是村</w:t>
            </w:r>
            <w:r>
              <w:rPr>
                <w:rFonts w:hint="eastAsia"/>
                <w:color w:val="000000"/>
                <w:kern w:val="0"/>
                <w:sz w:val="21"/>
                <w:szCs w:val="21"/>
                <w:lang w:val="en-US" w:eastAsia="zh-CN"/>
              </w:rPr>
              <w:t>及</w:t>
            </w:r>
            <w:r>
              <w:rPr>
                <w:color w:val="000000"/>
                <w:kern w:val="0"/>
                <w:sz w:val="21"/>
                <w:szCs w:val="21"/>
              </w:rPr>
              <w:t>社区干部报酬、运行经费支出，保障村社组织正常运转；三是农村</w:t>
            </w:r>
            <w:r>
              <w:rPr>
                <w:rFonts w:hint="eastAsia"/>
                <w:color w:val="000000"/>
                <w:kern w:val="0"/>
                <w:sz w:val="21"/>
                <w:szCs w:val="21"/>
                <w:lang w:val="en-US" w:eastAsia="zh-CN"/>
              </w:rPr>
              <w:t>社会事业</w:t>
            </w:r>
            <w:r>
              <w:rPr>
                <w:color w:val="000000"/>
                <w:kern w:val="0"/>
                <w:sz w:val="21"/>
                <w:szCs w:val="21"/>
              </w:rPr>
              <w:t>服务劳务报酬，保障农村</w:t>
            </w:r>
            <w:r>
              <w:rPr>
                <w:rFonts w:hint="eastAsia"/>
                <w:color w:val="000000"/>
                <w:kern w:val="0"/>
                <w:sz w:val="21"/>
                <w:szCs w:val="21"/>
                <w:lang w:val="en-US" w:eastAsia="zh-CN"/>
              </w:rPr>
              <w:t>社会事业正常开展</w:t>
            </w:r>
            <w:r>
              <w:rPr>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noWrap w:val="0"/>
            <w:vAlign w:val="center"/>
          </w:tcPr>
          <w:p>
            <w:pPr>
              <w:widowControl/>
              <w:spacing w:line="300" w:lineRule="exact"/>
              <w:jc w:val="center"/>
              <w:rPr>
                <w:color w:val="000000"/>
                <w:kern w:val="0"/>
                <w:sz w:val="21"/>
                <w:szCs w:val="21"/>
              </w:rPr>
            </w:pPr>
          </w:p>
        </w:tc>
        <w:tc>
          <w:tcPr>
            <w:tcW w:w="1164" w:type="dxa"/>
            <w:noWrap w:val="0"/>
            <w:vAlign w:val="center"/>
          </w:tcPr>
          <w:p>
            <w:pPr>
              <w:widowControl/>
              <w:spacing w:line="300" w:lineRule="exact"/>
              <w:jc w:val="center"/>
              <w:rPr>
                <w:color w:val="000000"/>
                <w:kern w:val="0"/>
                <w:sz w:val="21"/>
                <w:szCs w:val="21"/>
              </w:rPr>
            </w:pPr>
            <w:r>
              <w:rPr>
                <w:color w:val="000000"/>
                <w:kern w:val="0"/>
                <w:sz w:val="21"/>
                <w:szCs w:val="21"/>
              </w:rPr>
              <w:t>一级指标</w:t>
            </w:r>
          </w:p>
        </w:tc>
        <w:tc>
          <w:tcPr>
            <w:tcW w:w="1134" w:type="dxa"/>
            <w:noWrap w:val="0"/>
            <w:vAlign w:val="center"/>
          </w:tcPr>
          <w:p>
            <w:pPr>
              <w:widowControl/>
              <w:spacing w:line="300" w:lineRule="exact"/>
              <w:jc w:val="center"/>
              <w:rPr>
                <w:color w:val="000000"/>
                <w:kern w:val="0"/>
                <w:sz w:val="21"/>
                <w:szCs w:val="21"/>
              </w:rPr>
            </w:pPr>
            <w:r>
              <w:rPr>
                <w:color w:val="000000"/>
                <w:kern w:val="0"/>
                <w:sz w:val="21"/>
                <w:szCs w:val="21"/>
              </w:rPr>
              <w:t>二级指标</w:t>
            </w:r>
          </w:p>
        </w:tc>
        <w:tc>
          <w:tcPr>
            <w:tcW w:w="3946" w:type="dxa"/>
            <w:gridSpan w:val="5"/>
            <w:noWrap w:val="0"/>
            <w:vAlign w:val="center"/>
          </w:tcPr>
          <w:p>
            <w:pPr>
              <w:widowControl/>
              <w:spacing w:line="300" w:lineRule="exact"/>
              <w:jc w:val="center"/>
              <w:rPr>
                <w:color w:val="000000"/>
                <w:kern w:val="0"/>
                <w:sz w:val="21"/>
                <w:szCs w:val="21"/>
              </w:rPr>
            </w:pPr>
            <w:r>
              <w:rPr>
                <w:color w:val="000000"/>
                <w:kern w:val="0"/>
                <w:sz w:val="21"/>
                <w:szCs w:val="21"/>
              </w:rPr>
              <w:t>三级指标</w:t>
            </w:r>
          </w:p>
        </w:tc>
        <w:tc>
          <w:tcPr>
            <w:tcW w:w="1529" w:type="dxa"/>
            <w:noWrap w:val="0"/>
            <w:vAlign w:val="center"/>
          </w:tcPr>
          <w:p>
            <w:pPr>
              <w:widowControl/>
              <w:spacing w:line="300" w:lineRule="exact"/>
              <w:jc w:val="center"/>
              <w:rPr>
                <w:color w:val="000000"/>
                <w:kern w:val="0"/>
                <w:sz w:val="21"/>
                <w:szCs w:val="21"/>
              </w:rPr>
            </w:pPr>
            <w:r>
              <w:rPr>
                <w:color w:val="000000"/>
                <w:kern w:val="0"/>
                <w:sz w:val="21"/>
                <w:szCs w:val="21"/>
              </w:rPr>
              <w:t>年初目标值（A）</w:t>
            </w:r>
          </w:p>
        </w:tc>
        <w:tc>
          <w:tcPr>
            <w:tcW w:w="1268" w:type="dxa"/>
            <w:gridSpan w:val="3"/>
            <w:noWrap w:val="0"/>
            <w:vAlign w:val="center"/>
          </w:tcPr>
          <w:p>
            <w:pPr>
              <w:widowControl/>
              <w:spacing w:line="300" w:lineRule="exact"/>
              <w:jc w:val="center"/>
              <w:rPr>
                <w:color w:val="000000"/>
                <w:kern w:val="0"/>
                <w:sz w:val="21"/>
                <w:szCs w:val="21"/>
              </w:rPr>
            </w:pPr>
            <w:r>
              <w:rPr>
                <w:color w:val="000000"/>
                <w:kern w:val="0"/>
                <w:sz w:val="21"/>
                <w:szCs w:val="21"/>
              </w:rPr>
              <w:t>实际完成值（B）</w:t>
            </w:r>
          </w:p>
        </w:tc>
        <w:tc>
          <w:tcPr>
            <w:tcW w:w="780" w:type="dxa"/>
            <w:noWrap w:val="0"/>
            <w:vAlign w:val="center"/>
          </w:tcPr>
          <w:p>
            <w:pPr>
              <w:widowControl/>
              <w:spacing w:line="300" w:lineRule="exact"/>
              <w:jc w:val="center"/>
              <w:rPr>
                <w:color w:val="000000"/>
                <w:kern w:val="0"/>
                <w:sz w:val="21"/>
                <w:szCs w:val="21"/>
              </w:rPr>
            </w:pPr>
            <w:r>
              <w:rPr>
                <w:color w:val="000000"/>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noWrap w:val="0"/>
            <w:vAlign w:val="center"/>
          </w:tcPr>
          <w:p>
            <w:pPr>
              <w:widowControl/>
              <w:spacing w:line="300" w:lineRule="exact"/>
              <w:jc w:val="center"/>
              <w:rPr>
                <w:color w:val="000000"/>
                <w:kern w:val="0"/>
                <w:sz w:val="21"/>
                <w:szCs w:val="21"/>
              </w:rPr>
            </w:pPr>
          </w:p>
        </w:tc>
        <w:tc>
          <w:tcPr>
            <w:tcW w:w="1164" w:type="dxa"/>
            <w:vMerge w:val="restart"/>
            <w:noWrap w:val="0"/>
            <w:vAlign w:val="center"/>
          </w:tcPr>
          <w:p>
            <w:pPr>
              <w:widowControl/>
              <w:spacing w:line="300" w:lineRule="exact"/>
              <w:jc w:val="center"/>
              <w:rPr>
                <w:color w:val="000000"/>
                <w:kern w:val="0"/>
                <w:sz w:val="21"/>
                <w:szCs w:val="21"/>
              </w:rPr>
            </w:pPr>
            <w:r>
              <w:rPr>
                <w:color w:val="000000"/>
                <w:kern w:val="0"/>
                <w:sz w:val="21"/>
                <w:szCs w:val="21"/>
              </w:rPr>
              <w:t>产出指标20分</w:t>
            </w:r>
          </w:p>
        </w:tc>
        <w:tc>
          <w:tcPr>
            <w:tcW w:w="1134" w:type="dxa"/>
            <w:noWrap w:val="0"/>
            <w:vAlign w:val="center"/>
          </w:tcPr>
          <w:p>
            <w:pPr>
              <w:widowControl/>
              <w:spacing w:line="300" w:lineRule="exact"/>
              <w:jc w:val="center"/>
              <w:rPr>
                <w:color w:val="000000"/>
                <w:kern w:val="0"/>
                <w:sz w:val="21"/>
                <w:szCs w:val="21"/>
              </w:rPr>
            </w:pPr>
            <w:r>
              <w:rPr>
                <w:color w:val="000000"/>
                <w:kern w:val="0"/>
                <w:sz w:val="21"/>
                <w:szCs w:val="21"/>
              </w:rPr>
              <w:t>数量指标</w:t>
            </w:r>
          </w:p>
        </w:tc>
        <w:tc>
          <w:tcPr>
            <w:tcW w:w="3946" w:type="dxa"/>
            <w:gridSpan w:val="5"/>
            <w:noWrap w:val="0"/>
            <w:vAlign w:val="center"/>
          </w:tcPr>
          <w:p>
            <w:pPr>
              <w:widowControl/>
              <w:spacing w:line="300" w:lineRule="exact"/>
              <w:jc w:val="left"/>
              <w:rPr>
                <w:color w:val="000000"/>
                <w:kern w:val="0"/>
                <w:sz w:val="21"/>
                <w:szCs w:val="21"/>
              </w:rPr>
            </w:pPr>
            <w:r>
              <w:rPr>
                <w:color w:val="000000"/>
                <w:kern w:val="0"/>
                <w:sz w:val="21"/>
                <w:szCs w:val="21"/>
              </w:rPr>
              <w:t>上级安排的年度工作任务</w:t>
            </w:r>
          </w:p>
        </w:tc>
        <w:tc>
          <w:tcPr>
            <w:tcW w:w="1529" w:type="dxa"/>
            <w:noWrap w:val="0"/>
            <w:vAlign w:val="center"/>
          </w:tcPr>
          <w:p>
            <w:pPr>
              <w:widowControl/>
              <w:spacing w:line="300" w:lineRule="exact"/>
              <w:jc w:val="center"/>
              <w:rPr>
                <w:color w:val="000000"/>
                <w:kern w:val="0"/>
                <w:sz w:val="21"/>
                <w:szCs w:val="21"/>
              </w:rPr>
            </w:pPr>
            <w:r>
              <w:rPr>
                <w:color w:val="000000"/>
                <w:kern w:val="0"/>
                <w:sz w:val="21"/>
                <w:szCs w:val="21"/>
              </w:rPr>
              <w:t>全面完成</w:t>
            </w:r>
          </w:p>
        </w:tc>
        <w:tc>
          <w:tcPr>
            <w:tcW w:w="1268" w:type="dxa"/>
            <w:gridSpan w:val="3"/>
            <w:noWrap w:val="0"/>
            <w:vAlign w:val="center"/>
          </w:tcPr>
          <w:p>
            <w:pPr>
              <w:widowControl/>
              <w:spacing w:line="300" w:lineRule="exact"/>
              <w:jc w:val="center"/>
              <w:rPr>
                <w:color w:val="000000"/>
                <w:kern w:val="0"/>
                <w:sz w:val="21"/>
                <w:szCs w:val="21"/>
              </w:rPr>
            </w:pPr>
            <w:r>
              <w:rPr>
                <w:color w:val="000000"/>
                <w:kern w:val="0"/>
                <w:sz w:val="21"/>
                <w:szCs w:val="21"/>
              </w:rPr>
              <w:t>全面完成</w:t>
            </w:r>
          </w:p>
        </w:tc>
        <w:tc>
          <w:tcPr>
            <w:tcW w:w="780" w:type="dxa"/>
            <w:noWrap w:val="0"/>
            <w:vAlign w:val="center"/>
          </w:tcPr>
          <w:p>
            <w:pPr>
              <w:widowControl/>
              <w:spacing w:line="300" w:lineRule="exact"/>
              <w:jc w:val="center"/>
              <w:rPr>
                <w:color w:val="000000"/>
                <w:kern w:val="0"/>
                <w:sz w:val="21"/>
                <w:szCs w:val="21"/>
              </w:rPr>
            </w:pPr>
            <w:r>
              <w:rPr>
                <w:color w:val="00000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noWrap w:val="0"/>
            <w:vAlign w:val="center"/>
          </w:tcPr>
          <w:p>
            <w:pPr>
              <w:widowControl/>
              <w:spacing w:line="300" w:lineRule="exact"/>
              <w:jc w:val="center"/>
              <w:rPr>
                <w:color w:val="000000"/>
                <w:kern w:val="0"/>
                <w:sz w:val="21"/>
                <w:szCs w:val="21"/>
              </w:rPr>
            </w:pPr>
          </w:p>
        </w:tc>
        <w:tc>
          <w:tcPr>
            <w:tcW w:w="1164" w:type="dxa"/>
            <w:vMerge w:val="continue"/>
            <w:noWrap w:val="0"/>
            <w:vAlign w:val="center"/>
          </w:tcPr>
          <w:p>
            <w:pPr>
              <w:widowControl/>
              <w:spacing w:line="300" w:lineRule="exact"/>
              <w:jc w:val="center"/>
              <w:rPr>
                <w:color w:val="000000"/>
                <w:kern w:val="0"/>
                <w:sz w:val="21"/>
                <w:szCs w:val="21"/>
              </w:rPr>
            </w:pPr>
          </w:p>
        </w:tc>
        <w:tc>
          <w:tcPr>
            <w:tcW w:w="1134" w:type="dxa"/>
            <w:noWrap w:val="0"/>
            <w:vAlign w:val="center"/>
          </w:tcPr>
          <w:p>
            <w:pPr>
              <w:widowControl/>
              <w:spacing w:line="300" w:lineRule="exact"/>
              <w:jc w:val="center"/>
              <w:rPr>
                <w:color w:val="000000"/>
                <w:kern w:val="0"/>
                <w:sz w:val="21"/>
                <w:szCs w:val="21"/>
              </w:rPr>
            </w:pPr>
            <w:r>
              <w:rPr>
                <w:color w:val="000000"/>
                <w:kern w:val="0"/>
                <w:sz w:val="21"/>
                <w:szCs w:val="21"/>
              </w:rPr>
              <w:t>时效指标</w:t>
            </w:r>
          </w:p>
        </w:tc>
        <w:tc>
          <w:tcPr>
            <w:tcW w:w="3946" w:type="dxa"/>
            <w:gridSpan w:val="5"/>
            <w:noWrap w:val="0"/>
            <w:vAlign w:val="center"/>
          </w:tcPr>
          <w:p>
            <w:pPr>
              <w:widowControl/>
              <w:spacing w:line="300" w:lineRule="exact"/>
              <w:jc w:val="left"/>
              <w:rPr>
                <w:color w:val="000000"/>
                <w:kern w:val="0"/>
                <w:sz w:val="21"/>
                <w:szCs w:val="21"/>
              </w:rPr>
            </w:pPr>
            <w:r>
              <w:rPr>
                <w:color w:val="000000"/>
                <w:kern w:val="0"/>
                <w:sz w:val="21"/>
                <w:szCs w:val="21"/>
              </w:rPr>
              <w:t>工作完成时间</w:t>
            </w:r>
          </w:p>
        </w:tc>
        <w:tc>
          <w:tcPr>
            <w:tcW w:w="1529" w:type="dxa"/>
            <w:noWrap w:val="0"/>
            <w:vAlign w:val="center"/>
          </w:tcPr>
          <w:p>
            <w:pPr>
              <w:widowControl/>
              <w:spacing w:line="300" w:lineRule="exact"/>
              <w:jc w:val="center"/>
              <w:rPr>
                <w:color w:val="000000"/>
                <w:kern w:val="0"/>
                <w:sz w:val="21"/>
                <w:szCs w:val="21"/>
              </w:rPr>
            </w:pPr>
            <w:r>
              <w:rPr>
                <w:color w:val="000000"/>
                <w:kern w:val="0"/>
                <w:sz w:val="21"/>
                <w:szCs w:val="21"/>
              </w:rPr>
              <w:t>按时完成</w:t>
            </w:r>
          </w:p>
        </w:tc>
        <w:tc>
          <w:tcPr>
            <w:tcW w:w="1268" w:type="dxa"/>
            <w:gridSpan w:val="3"/>
            <w:noWrap w:val="0"/>
            <w:vAlign w:val="center"/>
          </w:tcPr>
          <w:p>
            <w:pPr>
              <w:widowControl/>
              <w:spacing w:line="300" w:lineRule="exact"/>
              <w:jc w:val="center"/>
              <w:rPr>
                <w:color w:val="000000"/>
                <w:kern w:val="0"/>
                <w:sz w:val="21"/>
                <w:szCs w:val="21"/>
              </w:rPr>
            </w:pPr>
            <w:r>
              <w:rPr>
                <w:color w:val="000000"/>
                <w:kern w:val="0"/>
                <w:sz w:val="21"/>
                <w:szCs w:val="21"/>
              </w:rPr>
              <w:t>按时完成</w:t>
            </w:r>
          </w:p>
        </w:tc>
        <w:tc>
          <w:tcPr>
            <w:tcW w:w="780" w:type="dxa"/>
            <w:noWrap w:val="0"/>
            <w:vAlign w:val="center"/>
          </w:tcPr>
          <w:p>
            <w:pPr>
              <w:widowControl/>
              <w:spacing w:line="300" w:lineRule="exact"/>
              <w:jc w:val="center"/>
              <w:rPr>
                <w:color w:val="000000"/>
                <w:kern w:val="0"/>
                <w:sz w:val="21"/>
                <w:szCs w:val="21"/>
              </w:rPr>
            </w:pPr>
            <w:r>
              <w:rPr>
                <w:color w:val="00000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noWrap w:val="0"/>
            <w:vAlign w:val="center"/>
          </w:tcPr>
          <w:p>
            <w:pPr>
              <w:widowControl/>
              <w:spacing w:line="300" w:lineRule="exact"/>
              <w:jc w:val="center"/>
              <w:rPr>
                <w:color w:val="000000"/>
                <w:kern w:val="0"/>
                <w:sz w:val="21"/>
                <w:szCs w:val="21"/>
              </w:rPr>
            </w:pPr>
          </w:p>
        </w:tc>
        <w:tc>
          <w:tcPr>
            <w:tcW w:w="1164" w:type="dxa"/>
            <w:vMerge w:val="restart"/>
            <w:noWrap w:val="0"/>
            <w:vAlign w:val="center"/>
          </w:tcPr>
          <w:p>
            <w:pPr>
              <w:widowControl/>
              <w:spacing w:line="300" w:lineRule="exact"/>
              <w:jc w:val="center"/>
              <w:rPr>
                <w:color w:val="000000"/>
                <w:kern w:val="0"/>
                <w:sz w:val="21"/>
                <w:szCs w:val="21"/>
              </w:rPr>
            </w:pPr>
            <w:r>
              <w:rPr>
                <w:color w:val="000000"/>
                <w:kern w:val="0"/>
                <w:sz w:val="21"/>
                <w:szCs w:val="21"/>
              </w:rPr>
              <w:t>效益指标20分</w:t>
            </w:r>
          </w:p>
        </w:tc>
        <w:tc>
          <w:tcPr>
            <w:tcW w:w="1134" w:type="dxa"/>
            <w:noWrap w:val="0"/>
            <w:vAlign w:val="center"/>
          </w:tcPr>
          <w:p>
            <w:pPr>
              <w:widowControl/>
              <w:spacing w:line="300" w:lineRule="exact"/>
              <w:jc w:val="center"/>
              <w:rPr>
                <w:color w:val="000000"/>
                <w:kern w:val="0"/>
                <w:sz w:val="21"/>
                <w:szCs w:val="21"/>
              </w:rPr>
            </w:pPr>
            <w:r>
              <w:rPr>
                <w:color w:val="000000"/>
                <w:kern w:val="0"/>
                <w:sz w:val="21"/>
                <w:szCs w:val="21"/>
              </w:rPr>
              <w:t>经济效益指标</w:t>
            </w:r>
          </w:p>
        </w:tc>
        <w:tc>
          <w:tcPr>
            <w:tcW w:w="3946" w:type="dxa"/>
            <w:gridSpan w:val="5"/>
            <w:noWrap w:val="0"/>
            <w:vAlign w:val="center"/>
          </w:tcPr>
          <w:p>
            <w:pPr>
              <w:widowControl/>
              <w:spacing w:line="300" w:lineRule="exact"/>
              <w:jc w:val="left"/>
              <w:rPr>
                <w:color w:val="000000"/>
                <w:kern w:val="0"/>
                <w:sz w:val="21"/>
                <w:szCs w:val="21"/>
              </w:rPr>
            </w:pPr>
            <w:r>
              <w:rPr>
                <w:color w:val="000000"/>
                <w:kern w:val="0"/>
                <w:sz w:val="21"/>
                <w:szCs w:val="21"/>
              </w:rPr>
              <w:t>监督财政资金正确使用</w:t>
            </w:r>
          </w:p>
        </w:tc>
        <w:tc>
          <w:tcPr>
            <w:tcW w:w="1529" w:type="dxa"/>
            <w:noWrap w:val="0"/>
            <w:vAlign w:val="center"/>
          </w:tcPr>
          <w:p>
            <w:pPr>
              <w:widowControl/>
              <w:spacing w:line="300" w:lineRule="exact"/>
              <w:jc w:val="center"/>
              <w:rPr>
                <w:color w:val="000000"/>
                <w:kern w:val="0"/>
                <w:sz w:val="21"/>
                <w:szCs w:val="21"/>
              </w:rPr>
            </w:pPr>
            <w:r>
              <w:rPr>
                <w:color w:val="000000"/>
                <w:kern w:val="0"/>
                <w:sz w:val="21"/>
                <w:szCs w:val="21"/>
              </w:rPr>
              <w:t>100%</w:t>
            </w:r>
          </w:p>
        </w:tc>
        <w:tc>
          <w:tcPr>
            <w:tcW w:w="1268" w:type="dxa"/>
            <w:gridSpan w:val="3"/>
            <w:noWrap w:val="0"/>
            <w:vAlign w:val="center"/>
          </w:tcPr>
          <w:p>
            <w:pPr>
              <w:widowControl/>
              <w:spacing w:line="300" w:lineRule="exact"/>
              <w:jc w:val="center"/>
              <w:rPr>
                <w:color w:val="000000"/>
                <w:kern w:val="0"/>
                <w:sz w:val="21"/>
                <w:szCs w:val="21"/>
              </w:rPr>
            </w:pPr>
            <w:r>
              <w:rPr>
                <w:color w:val="000000"/>
                <w:kern w:val="0"/>
                <w:sz w:val="21"/>
                <w:szCs w:val="21"/>
              </w:rPr>
              <w:t>100%</w:t>
            </w:r>
          </w:p>
        </w:tc>
        <w:tc>
          <w:tcPr>
            <w:tcW w:w="780" w:type="dxa"/>
            <w:noWrap w:val="0"/>
            <w:vAlign w:val="center"/>
          </w:tcPr>
          <w:p>
            <w:pPr>
              <w:widowControl/>
              <w:spacing w:line="300" w:lineRule="exact"/>
              <w:jc w:val="center"/>
              <w:rPr>
                <w:color w:val="000000"/>
                <w:kern w:val="0"/>
                <w:sz w:val="21"/>
                <w:szCs w:val="21"/>
              </w:rPr>
            </w:pPr>
            <w:r>
              <w:rPr>
                <w:color w:val="00000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noWrap w:val="0"/>
            <w:vAlign w:val="center"/>
          </w:tcPr>
          <w:p>
            <w:pPr>
              <w:widowControl/>
              <w:spacing w:line="300" w:lineRule="exact"/>
              <w:jc w:val="center"/>
              <w:rPr>
                <w:color w:val="000000"/>
                <w:kern w:val="0"/>
                <w:sz w:val="21"/>
                <w:szCs w:val="21"/>
              </w:rPr>
            </w:pPr>
          </w:p>
        </w:tc>
        <w:tc>
          <w:tcPr>
            <w:tcW w:w="1164" w:type="dxa"/>
            <w:vMerge w:val="continue"/>
            <w:noWrap w:val="0"/>
            <w:vAlign w:val="center"/>
          </w:tcPr>
          <w:p>
            <w:pPr>
              <w:widowControl/>
              <w:spacing w:line="300" w:lineRule="exact"/>
              <w:jc w:val="center"/>
              <w:rPr>
                <w:color w:val="000000"/>
                <w:kern w:val="0"/>
                <w:sz w:val="21"/>
                <w:szCs w:val="21"/>
              </w:rPr>
            </w:pPr>
          </w:p>
        </w:tc>
        <w:tc>
          <w:tcPr>
            <w:tcW w:w="1134" w:type="dxa"/>
            <w:noWrap w:val="0"/>
            <w:vAlign w:val="center"/>
          </w:tcPr>
          <w:p>
            <w:pPr>
              <w:widowControl/>
              <w:spacing w:line="300" w:lineRule="exact"/>
              <w:jc w:val="center"/>
              <w:rPr>
                <w:color w:val="000000"/>
                <w:kern w:val="0"/>
                <w:sz w:val="21"/>
                <w:szCs w:val="21"/>
              </w:rPr>
            </w:pPr>
            <w:r>
              <w:rPr>
                <w:color w:val="000000"/>
                <w:kern w:val="0"/>
                <w:sz w:val="21"/>
                <w:szCs w:val="21"/>
              </w:rPr>
              <w:t>社会效益指标</w:t>
            </w:r>
          </w:p>
        </w:tc>
        <w:tc>
          <w:tcPr>
            <w:tcW w:w="3946" w:type="dxa"/>
            <w:gridSpan w:val="5"/>
            <w:noWrap w:val="0"/>
            <w:vAlign w:val="center"/>
          </w:tcPr>
          <w:p>
            <w:pPr>
              <w:widowControl/>
              <w:spacing w:line="300" w:lineRule="exact"/>
              <w:jc w:val="left"/>
              <w:rPr>
                <w:color w:val="000000"/>
                <w:kern w:val="0"/>
                <w:sz w:val="21"/>
                <w:szCs w:val="21"/>
              </w:rPr>
            </w:pPr>
            <w:r>
              <w:rPr>
                <w:color w:val="000000"/>
                <w:kern w:val="0"/>
                <w:sz w:val="21"/>
                <w:szCs w:val="21"/>
              </w:rPr>
              <w:t>服务本镇经济社会发展</w:t>
            </w:r>
          </w:p>
        </w:tc>
        <w:tc>
          <w:tcPr>
            <w:tcW w:w="1529" w:type="dxa"/>
            <w:noWrap w:val="0"/>
            <w:vAlign w:val="center"/>
          </w:tcPr>
          <w:p>
            <w:pPr>
              <w:widowControl/>
              <w:spacing w:line="300" w:lineRule="exact"/>
              <w:jc w:val="center"/>
              <w:rPr>
                <w:color w:val="000000"/>
                <w:kern w:val="0"/>
                <w:sz w:val="21"/>
                <w:szCs w:val="21"/>
              </w:rPr>
            </w:pPr>
            <w:r>
              <w:rPr>
                <w:color w:val="000000"/>
                <w:kern w:val="0"/>
                <w:sz w:val="21"/>
                <w:szCs w:val="21"/>
              </w:rPr>
              <w:t>100%</w:t>
            </w:r>
          </w:p>
        </w:tc>
        <w:tc>
          <w:tcPr>
            <w:tcW w:w="1268" w:type="dxa"/>
            <w:gridSpan w:val="3"/>
            <w:noWrap w:val="0"/>
            <w:vAlign w:val="center"/>
          </w:tcPr>
          <w:p>
            <w:pPr>
              <w:widowControl/>
              <w:spacing w:line="300" w:lineRule="exact"/>
              <w:jc w:val="center"/>
              <w:rPr>
                <w:color w:val="000000"/>
                <w:kern w:val="0"/>
                <w:sz w:val="21"/>
                <w:szCs w:val="21"/>
              </w:rPr>
            </w:pPr>
            <w:r>
              <w:rPr>
                <w:color w:val="000000"/>
                <w:kern w:val="0"/>
                <w:sz w:val="21"/>
                <w:szCs w:val="21"/>
              </w:rPr>
              <w:t>100%</w:t>
            </w:r>
          </w:p>
        </w:tc>
        <w:tc>
          <w:tcPr>
            <w:tcW w:w="780" w:type="dxa"/>
            <w:noWrap w:val="0"/>
            <w:vAlign w:val="center"/>
          </w:tcPr>
          <w:p>
            <w:pPr>
              <w:widowControl/>
              <w:spacing w:line="300" w:lineRule="exact"/>
              <w:jc w:val="center"/>
              <w:rPr>
                <w:color w:val="000000"/>
                <w:kern w:val="0"/>
                <w:sz w:val="21"/>
                <w:szCs w:val="21"/>
              </w:rPr>
            </w:pPr>
            <w:r>
              <w:rPr>
                <w:color w:val="00000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noWrap w:val="0"/>
            <w:vAlign w:val="center"/>
          </w:tcPr>
          <w:p>
            <w:pPr>
              <w:widowControl/>
              <w:spacing w:line="300" w:lineRule="exact"/>
              <w:jc w:val="center"/>
              <w:rPr>
                <w:color w:val="000000"/>
                <w:kern w:val="0"/>
                <w:sz w:val="21"/>
                <w:szCs w:val="21"/>
              </w:rPr>
            </w:pPr>
          </w:p>
        </w:tc>
        <w:tc>
          <w:tcPr>
            <w:tcW w:w="1164" w:type="dxa"/>
            <w:noWrap w:val="0"/>
            <w:vAlign w:val="center"/>
          </w:tcPr>
          <w:p>
            <w:pPr>
              <w:widowControl/>
              <w:spacing w:line="300" w:lineRule="exact"/>
              <w:jc w:val="center"/>
              <w:rPr>
                <w:color w:val="000000"/>
                <w:kern w:val="0"/>
                <w:sz w:val="21"/>
                <w:szCs w:val="21"/>
              </w:rPr>
            </w:pPr>
            <w:r>
              <w:rPr>
                <w:color w:val="000000"/>
                <w:kern w:val="0"/>
                <w:sz w:val="21"/>
                <w:szCs w:val="21"/>
              </w:rPr>
              <w:t>满意度  指标20分</w:t>
            </w:r>
          </w:p>
        </w:tc>
        <w:tc>
          <w:tcPr>
            <w:tcW w:w="1134" w:type="dxa"/>
            <w:noWrap w:val="0"/>
            <w:vAlign w:val="center"/>
          </w:tcPr>
          <w:p>
            <w:pPr>
              <w:widowControl/>
              <w:spacing w:line="300" w:lineRule="exact"/>
              <w:jc w:val="center"/>
              <w:rPr>
                <w:color w:val="000000"/>
                <w:kern w:val="0"/>
                <w:sz w:val="21"/>
                <w:szCs w:val="21"/>
              </w:rPr>
            </w:pPr>
            <w:r>
              <w:rPr>
                <w:color w:val="000000"/>
                <w:kern w:val="0"/>
                <w:sz w:val="21"/>
                <w:szCs w:val="21"/>
              </w:rPr>
              <w:t xml:space="preserve">服务对象 </w:t>
            </w:r>
          </w:p>
        </w:tc>
        <w:tc>
          <w:tcPr>
            <w:tcW w:w="3946" w:type="dxa"/>
            <w:gridSpan w:val="5"/>
            <w:noWrap w:val="0"/>
            <w:vAlign w:val="center"/>
          </w:tcPr>
          <w:p>
            <w:pPr>
              <w:widowControl/>
              <w:spacing w:line="300" w:lineRule="exact"/>
              <w:jc w:val="left"/>
              <w:rPr>
                <w:color w:val="000000"/>
                <w:kern w:val="0"/>
                <w:sz w:val="21"/>
                <w:szCs w:val="21"/>
              </w:rPr>
            </w:pPr>
            <w:r>
              <w:rPr>
                <w:color w:val="000000"/>
                <w:kern w:val="0"/>
                <w:sz w:val="21"/>
                <w:szCs w:val="21"/>
              </w:rPr>
              <w:t>上级组织和服务对象满意度</w:t>
            </w:r>
          </w:p>
        </w:tc>
        <w:tc>
          <w:tcPr>
            <w:tcW w:w="1529" w:type="dxa"/>
            <w:noWrap w:val="0"/>
            <w:vAlign w:val="center"/>
          </w:tcPr>
          <w:p>
            <w:pPr>
              <w:widowControl/>
              <w:spacing w:line="300" w:lineRule="exact"/>
              <w:jc w:val="center"/>
              <w:rPr>
                <w:color w:val="000000"/>
                <w:kern w:val="0"/>
                <w:sz w:val="21"/>
                <w:szCs w:val="21"/>
              </w:rPr>
            </w:pPr>
            <w:r>
              <w:rPr>
                <w:color w:val="000000"/>
                <w:kern w:val="0"/>
                <w:sz w:val="21"/>
                <w:szCs w:val="21"/>
              </w:rPr>
              <w:t>9</w:t>
            </w:r>
            <w:r>
              <w:rPr>
                <w:rFonts w:hint="eastAsia"/>
                <w:color w:val="000000"/>
                <w:kern w:val="0"/>
                <w:sz w:val="21"/>
                <w:szCs w:val="21"/>
                <w:lang w:val="en-US" w:eastAsia="zh-CN"/>
              </w:rPr>
              <w:t>5</w:t>
            </w:r>
            <w:r>
              <w:rPr>
                <w:color w:val="000000"/>
                <w:kern w:val="0"/>
                <w:sz w:val="21"/>
                <w:szCs w:val="21"/>
              </w:rPr>
              <w:t>%</w:t>
            </w:r>
          </w:p>
        </w:tc>
        <w:tc>
          <w:tcPr>
            <w:tcW w:w="1268" w:type="dxa"/>
            <w:gridSpan w:val="3"/>
            <w:noWrap w:val="0"/>
            <w:vAlign w:val="center"/>
          </w:tcPr>
          <w:p>
            <w:pPr>
              <w:widowControl/>
              <w:spacing w:line="300" w:lineRule="exact"/>
              <w:jc w:val="center"/>
              <w:rPr>
                <w:color w:val="000000"/>
                <w:kern w:val="0"/>
                <w:sz w:val="21"/>
                <w:szCs w:val="21"/>
              </w:rPr>
            </w:pPr>
            <w:r>
              <w:rPr>
                <w:color w:val="000000"/>
                <w:kern w:val="0"/>
                <w:sz w:val="21"/>
                <w:szCs w:val="21"/>
              </w:rPr>
              <w:t>9</w:t>
            </w:r>
            <w:r>
              <w:rPr>
                <w:rFonts w:hint="eastAsia"/>
                <w:color w:val="000000"/>
                <w:kern w:val="0"/>
                <w:sz w:val="21"/>
                <w:szCs w:val="21"/>
                <w:lang w:val="en-US" w:eastAsia="zh-CN"/>
              </w:rPr>
              <w:t>5</w:t>
            </w:r>
            <w:r>
              <w:rPr>
                <w:color w:val="000000"/>
                <w:kern w:val="0"/>
                <w:sz w:val="21"/>
                <w:szCs w:val="21"/>
              </w:rPr>
              <w:t>%</w:t>
            </w:r>
          </w:p>
        </w:tc>
        <w:tc>
          <w:tcPr>
            <w:tcW w:w="780" w:type="dxa"/>
            <w:noWrap w:val="0"/>
            <w:vAlign w:val="center"/>
          </w:tcPr>
          <w:p>
            <w:pPr>
              <w:widowControl/>
              <w:spacing w:line="300" w:lineRule="exact"/>
              <w:jc w:val="center"/>
              <w:rPr>
                <w:rFonts w:hint="default" w:eastAsia="仿宋_GB2312"/>
                <w:color w:val="000000"/>
                <w:kern w:val="0"/>
                <w:sz w:val="21"/>
                <w:szCs w:val="21"/>
                <w:lang w:val="en-US" w:eastAsia="zh-CN"/>
              </w:rPr>
            </w:pPr>
            <w:r>
              <w:rPr>
                <w:rFonts w:hint="eastAsia"/>
                <w:color w:val="000000"/>
                <w:kern w:val="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gridSpan w:val="2"/>
            <w:noWrap w:val="0"/>
            <w:vAlign w:val="center"/>
          </w:tcPr>
          <w:p>
            <w:pPr>
              <w:widowControl/>
              <w:spacing w:line="300" w:lineRule="exact"/>
              <w:jc w:val="center"/>
              <w:rPr>
                <w:color w:val="000000"/>
                <w:kern w:val="0"/>
                <w:sz w:val="21"/>
                <w:szCs w:val="21"/>
              </w:rPr>
            </w:pPr>
            <w:r>
              <w:rPr>
                <w:color w:val="000000"/>
                <w:kern w:val="0"/>
                <w:sz w:val="21"/>
                <w:szCs w:val="21"/>
              </w:rPr>
              <w:t>年度绩效目标2</w:t>
            </w:r>
          </w:p>
          <w:p>
            <w:pPr>
              <w:widowControl/>
              <w:spacing w:line="300" w:lineRule="exact"/>
              <w:jc w:val="center"/>
              <w:rPr>
                <w:color w:val="000000"/>
                <w:kern w:val="0"/>
                <w:sz w:val="21"/>
                <w:szCs w:val="21"/>
              </w:rPr>
            </w:pPr>
            <w:r>
              <w:rPr>
                <w:color w:val="000000"/>
                <w:kern w:val="0"/>
                <w:sz w:val="21"/>
                <w:szCs w:val="21"/>
              </w:rPr>
              <w:t>20分</w:t>
            </w:r>
          </w:p>
        </w:tc>
        <w:tc>
          <w:tcPr>
            <w:tcW w:w="8657" w:type="dxa"/>
            <w:gridSpan w:val="11"/>
            <w:noWrap w:val="0"/>
            <w:vAlign w:val="center"/>
          </w:tcPr>
          <w:p>
            <w:pPr>
              <w:widowControl/>
              <w:spacing w:line="300" w:lineRule="exact"/>
              <w:jc w:val="left"/>
              <w:rPr>
                <w:rFonts w:hint="default" w:eastAsia="仿宋_GB2312"/>
                <w:color w:val="000000"/>
                <w:kern w:val="0"/>
                <w:sz w:val="21"/>
                <w:szCs w:val="21"/>
                <w:lang w:val="en-US" w:eastAsia="zh-CN"/>
              </w:rPr>
            </w:pPr>
            <w:r>
              <w:rPr>
                <w:color w:val="000000"/>
                <w:kern w:val="0"/>
                <w:sz w:val="21"/>
                <w:szCs w:val="21"/>
              </w:rPr>
              <w:t>项目支出：村级公益事业建设</w:t>
            </w:r>
            <w:r>
              <w:rPr>
                <w:rFonts w:hint="eastAsia"/>
                <w:color w:val="000000"/>
                <w:kern w:val="0"/>
                <w:sz w:val="21"/>
                <w:szCs w:val="21"/>
                <w:lang w:val="en-US" w:eastAsia="zh-CN"/>
              </w:rPr>
              <w:t>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vMerge w:val="restart"/>
            <w:noWrap w:val="0"/>
            <w:vAlign w:val="center"/>
          </w:tcPr>
          <w:p>
            <w:pPr>
              <w:widowControl/>
              <w:spacing w:line="300" w:lineRule="exact"/>
              <w:jc w:val="center"/>
              <w:rPr>
                <w:color w:val="000000"/>
                <w:kern w:val="0"/>
                <w:sz w:val="21"/>
                <w:szCs w:val="21"/>
              </w:rPr>
            </w:pPr>
            <w:r>
              <w:rPr>
                <w:color w:val="000000"/>
                <w:kern w:val="0"/>
                <w:sz w:val="21"/>
                <w:szCs w:val="21"/>
              </w:rPr>
              <w:t>年度绩效指标</w:t>
            </w:r>
          </w:p>
        </w:tc>
        <w:tc>
          <w:tcPr>
            <w:tcW w:w="1164" w:type="dxa"/>
            <w:noWrap w:val="0"/>
            <w:vAlign w:val="center"/>
          </w:tcPr>
          <w:p>
            <w:pPr>
              <w:widowControl/>
              <w:spacing w:line="300" w:lineRule="exact"/>
              <w:jc w:val="center"/>
              <w:rPr>
                <w:color w:val="000000"/>
                <w:kern w:val="0"/>
                <w:sz w:val="21"/>
                <w:szCs w:val="21"/>
              </w:rPr>
            </w:pPr>
            <w:r>
              <w:rPr>
                <w:color w:val="000000"/>
                <w:kern w:val="0"/>
                <w:sz w:val="21"/>
                <w:szCs w:val="21"/>
              </w:rPr>
              <w:t>一级指标</w:t>
            </w:r>
          </w:p>
        </w:tc>
        <w:tc>
          <w:tcPr>
            <w:tcW w:w="1134" w:type="dxa"/>
            <w:noWrap w:val="0"/>
            <w:vAlign w:val="center"/>
          </w:tcPr>
          <w:p>
            <w:pPr>
              <w:widowControl/>
              <w:spacing w:line="300" w:lineRule="exact"/>
              <w:jc w:val="center"/>
              <w:rPr>
                <w:color w:val="000000"/>
                <w:kern w:val="0"/>
                <w:sz w:val="21"/>
                <w:szCs w:val="21"/>
              </w:rPr>
            </w:pPr>
            <w:r>
              <w:rPr>
                <w:color w:val="000000"/>
                <w:kern w:val="0"/>
                <w:sz w:val="21"/>
                <w:szCs w:val="21"/>
              </w:rPr>
              <w:t>二级指标</w:t>
            </w:r>
          </w:p>
        </w:tc>
        <w:tc>
          <w:tcPr>
            <w:tcW w:w="3946" w:type="dxa"/>
            <w:gridSpan w:val="5"/>
            <w:noWrap w:val="0"/>
            <w:vAlign w:val="center"/>
          </w:tcPr>
          <w:p>
            <w:pPr>
              <w:widowControl/>
              <w:spacing w:line="300" w:lineRule="exact"/>
              <w:jc w:val="center"/>
              <w:rPr>
                <w:color w:val="000000"/>
                <w:kern w:val="0"/>
                <w:sz w:val="21"/>
                <w:szCs w:val="21"/>
              </w:rPr>
            </w:pPr>
            <w:r>
              <w:rPr>
                <w:color w:val="000000"/>
                <w:kern w:val="0"/>
                <w:sz w:val="21"/>
                <w:szCs w:val="21"/>
              </w:rPr>
              <w:t>三级指标</w:t>
            </w:r>
          </w:p>
        </w:tc>
        <w:tc>
          <w:tcPr>
            <w:tcW w:w="1529" w:type="dxa"/>
            <w:noWrap w:val="0"/>
            <w:vAlign w:val="center"/>
          </w:tcPr>
          <w:p>
            <w:pPr>
              <w:widowControl/>
              <w:spacing w:line="300" w:lineRule="exact"/>
              <w:jc w:val="center"/>
              <w:rPr>
                <w:color w:val="000000"/>
                <w:kern w:val="0"/>
                <w:sz w:val="21"/>
                <w:szCs w:val="21"/>
              </w:rPr>
            </w:pPr>
            <w:r>
              <w:rPr>
                <w:color w:val="000000"/>
                <w:kern w:val="0"/>
                <w:sz w:val="21"/>
                <w:szCs w:val="21"/>
              </w:rPr>
              <w:t>年初目标值（A）</w:t>
            </w:r>
          </w:p>
        </w:tc>
        <w:tc>
          <w:tcPr>
            <w:tcW w:w="1268" w:type="dxa"/>
            <w:gridSpan w:val="3"/>
            <w:noWrap w:val="0"/>
            <w:vAlign w:val="center"/>
          </w:tcPr>
          <w:p>
            <w:pPr>
              <w:widowControl/>
              <w:spacing w:line="300" w:lineRule="exact"/>
              <w:jc w:val="center"/>
              <w:rPr>
                <w:color w:val="000000"/>
                <w:kern w:val="0"/>
                <w:sz w:val="21"/>
                <w:szCs w:val="21"/>
              </w:rPr>
            </w:pPr>
            <w:r>
              <w:rPr>
                <w:color w:val="000000"/>
                <w:kern w:val="0"/>
                <w:sz w:val="21"/>
                <w:szCs w:val="21"/>
              </w:rPr>
              <w:t>实际完成值（B）</w:t>
            </w:r>
          </w:p>
        </w:tc>
        <w:tc>
          <w:tcPr>
            <w:tcW w:w="780" w:type="dxa"/>
            <w:noWrap w:val="0"/>
            <w:vAlign w:val="center"/>
          </w:tcPr>
          <w:p>
            <w:pPr>
              <w:widowControl/>
              <w:spacing w:line="300" w:lineRule="exact"/>
              <w:jc w:val="center"/>
              <w:rPr>
                <w:color w:val="000000"/>
                <w:kern w:val="0"/>
                <w:sz w:val="21"/>
                <w:szCs w:val="21"/>
              </w:rPr>
            </w:pPr>
            <w:r>
              <w:rPr>
                <w:color w:val="000000"/>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vMerge w:val="continue"/>
            <w:noWrap w:val="0"/>
            <w:vAlign w:val="center"/>
          </w:tcPr>
          <w:p>
            <w:pPr>
              <w:widowControl/>
              <w:spacing w:line="300" w:lineRule="exact"/>
              <w:jc w:val="center"/>
              <w:rPr>
                <w:color w:val="000000"/>
                <w:kern w:val="0"/>
                <w:sz w:val="21"/>
                <w:szCs w:val="21"/>
              </w:rPr>
            </w:pPr>
          </w:p>
        </w:tc>
        <w:tc>
          <w:tcPr>
            <w:tcW w:w="1164" w:type="dxa"/>
            <w:vMerge w:val="restart"/>
            <w:noWrap w:val="0"/>
            <w:vAlign w:val="center"/>
          </w:tcPr>
          <w:p>
            <w:pPr>
              <w:widowControl/>
              <w:spacing w:line="300" w:lineRule="exact"/>
              <w:jc w:val="center"/>
              <w:rPr>
                <w:color w:val="000000"/>
                <w:kern w:val="0"/>
                <w:sz w:val="21"/>
                <w:szCs w:val="21"/>
              </w:rPr>
            </w:pPr>
            <w:r>
              <w:rPr>
                <w:color w:val="000000"/>
                <w:kern w:val="0"/>
                <w:sz w:val="21"/>
                <w:szCs w:val="21"/>
              </w:rPr>
              <w:t>产出指标10分</w:t>
            </w:r>
          </w:p>
        </w:tc>
        <w:tc>
          <w:tcPr>
            <w:tcW w:w="1134" w:type="dxa"/>
            <w:noWrap w:val="0"/>
            <w:vAlign w:val="center"/>
          </w:tcPr>
          <w:p>
            <w:pPr>
              <w:widowControl/>
              <w:spacing w:line="300" w:lineRule="exact"/>
              <w:jc w:val="center"/>
              <w:rPr>
                <w:color w:val="000000"/>
                <w:kern w:val="0"/>
                <w:sz w:val="21"/>
                <w:szCs w:val="21"/>
              </w:rPr>
            </w:pPr>
            <w:r>
              <w:rPr>
                <w:color w:val="000000"/>
                <w:kern w:val="0"/>
                <w:sz w:val="21"/>
                <w:szCs w:val="21"/>
              </w:rPr>
              <w:t>数量指标</w:t>
            </w:r>
          </w:p>
        </w:tc>
        <w:tc>
          <w:tcPr>
            <w:tcW w:w="3946" w:type="dxa"/>
            <w:gridSpan w:val="5"/>
            <w:noWrap w:val="0"/>
            <w:vAlign w:val="center"/>
          </w:tcPr>
          <w:p>
            <w:pPr>
              <w:widowControl/>
              <w:spacing w:line="300" w:lineRule="exact"/>
              <w:jc w:val="center"/>
              <w:rPr>
                <w:color w:val="000000"/>
                <w:kern w:val="0"/>
                <w:sz w:val="21"/>
                <w:szCs w:val="21"/>
              </w:rPr>
            </w:pPr>
            <w:r>
              <w:rPr>
                <w:color w:val="000000"/>
                <w:kern w:val="0"/>
                <w:sz w:val="21"/>
                <w:szCs w:val="21"/>
              </w:rPr>
              <w:t>村级公益事业建设项目涉及村数</w:t>
            </w:r>
          </w:p>
        </w:tc>
        <w:tc>
          <w:tcPr>
            <w:tcW w:w="1529" w:type="dxa"/>
            <w:noWrap w:val="0"/>
            <w:vAlign w:val="center"/>
          </w:tcPr>
          <w:p>
            <w:pPr>
              <w:widowControl/>
              <w:spacing w:line="300" w:lineRule="exact"/>
              <w:jc w:val="center"/>
              <w:rPr>
                <w:rFonts w:hint="eastAsia" w:eastAsia="宋体"/>
                <w:color w:val="000000"/>
                <w:kern w:val="0"/>
                <w:sz w:val="21"/>
                <w:szCs w:val="21"/>
                <w:lang w:val="en-US" w:eastAsia="zh-CN"/>
              </w:rPr>
            </w:pPr>
            <w:r>
              <w:rPr>
                <w:rFonts w:eastAsia="宋体"/>
                <w:color w:val="000000"/>
                <w:kern w:val="0"/>
                <w:sz w:val="21"/>
                <w:szCs w:val="21"/>
              </w:rPr>
              <w:t>≧</w:t>
            </w:r>
            <w:r>
              <w:rPr>
                <w:rFonts w:hint="eastAsia" w:eastAsia="宋体"/>
                <w:color w:val="000000"/>
                <w:kern w:val="0"/>
                <w:sz w:val="21"/>
                <w:szCs w:val="21"/>
                <w:lang w:val="en-US" w:eastAsia="zh-CN"/>
              </w:rPr>
              <w:t>3</w:t>
            </w:r>
          </w:p>
        </w:tc>
        <w:tc>
          <w:tcPr>
            <w:tcW w:w="1268" w:type="dxa"/>
            <w:gridSpan w:val="3"/>
            <w:noWrap w:val="0"/>
            <w:vAlign w:val="center"/>
          </w:tcPr>
          <w:p>
            <w:pPr>
              <w:widowControl/>
              <w:spacing w:line="300" w:lineRule="exact"/>
              <w:jc w:val="center"/>
              <w:rPr>
                <w:rFonts w:hint="eastAsia" w:eastAsia="仿宋_GB2312"/>
                <w:color w:val="000000"/>
                <w:kern w:val="0"/>
                <w:sz w:val="21"/>
                <w:szCs w:val="21"/>
                <w:lang w:val="en-US" w:eastAsia="zh-CN"/>
              </w:rPr>
            </w:pPr>
            <w:r>
              <w:rPr>
                <w:rFonts w:hint="eastAsia"/>
                <w:color w:val="000000"/>
                <w:kern w:val="0"/>
                <w:sz w:val="21"/>
                <w:szCs w:val="21"/>
                <w:lang w:val="en-US" w:eastAsia="zh-CN"/>
              </w:rPr>
              <w:t>3</w:t>
            </w:r>
          </w:p>
        </w:tc>
        <w:tc>
          <w:tcPr>
            <w:tcW w:w="780" w:type="dxa"/>
            <w:vMerge w:val="restart"/>
            <w:noWrap w:val="0"/>
            <w:vAlign w:val="center"/>
          </w:tcPr>
          <w:p>
            <w:pPr>
              <w:widowControl/>
              <w:spacing w:line="300" w:lineRule="exact"/>
              <w:jc w:val="center"/>
              <w:rPr>
                <w:color w:val="000000"/>
                <w:kern w:val="0"/>
                <w:sz w:val="21"/>
                <w:szCs w:val="21"/>
              </w:rPr>
            </w:pPr>
            <w:r>
              <w:rPr>
                <w:color w:val="000000"/>
                <w:kern w:val="0"/>
                <w:sz w:val="21"/>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vMerge w:val="continue"/>
            <w:noWrap w:val="0"/>
            <w:vAlign w:val="center"/>
          </w:tcPr>
          <w:p>
            <w:pPr>
              <w:widowControl/>
              <w:spacing w:line="300" w:lineRule="exact"/>
              <w:jc w:val="center"/>
              <w:rPr>
                <w:color w:val="000000"/>
                <w:kern w:val="0"/>
                <w:sz w:val="21"/>
                <w:szCs w:val="21"/>
              </w:rPr>
            </w:pPr>
          </w:p>
        </w:tc>
        <w:tc>
          <w:tcPr>
            <w:tcW w:w="1164" w:type="dxa"/>
            <w:vMerge w:val="continue"/>
            <w:noWrap w:val="0"/>
            <w:vAlign w:val="center"/>
          </w:tcPr>
          <w:p>
            <w:pPr>
              <w:widowControl/>
              <w:spacing w:line="300" w:lineRule="exact"/>
              <w:jc w:val="center"/>
              <w:rPr>
                <w:color w:val="000000"/>
                <w:kern w:val="0"/>
                <w:sz w:val="21"/>
                <w:szCs w:val="21"/>
              </w:rPr>
            </w:pPr>
          </w:p>
        </w:tc>
        <w:tc>
          <w:tcPr>
            <w:tcW w:w="1134" w:type="dxa"/>
            <w:noWrap w:val="0"/>
            <w:vAlign w:val="center"/>
          </w:tcPr>
          <w:p>
            <w:pPr>
              <w:widowControl/>
              <w:spacing w:line="300" w:lineRule="exact"/>
              <w:jc w:val="center"/>
              <w:rPr>
                <w:color w:val="000000"/>
                <w:kern w:val="0"/>
                <w:sz w:val="21"/>
                <w:szCs w:val="21"/>
              </w:rPr>
            </w:pPr>
            <w:r>
              <w:rPr>
                <w:color w:val="000000"/>
                <w:kern w:val="0"/>
                <w:sz w:val="21"/>
                <w:szCs w:val="21"/>
              </w:rPr>
              <w:t>质量指标</w:t>
            </w:r>
          </w:p>
        </w:tc>
        <w:tc>
          <w:tcPr>
            <w:tcW w:w="3946" w:type="dxa"/>
            <w:gridSpan w:val="5"/>
            <w:noWrap w:val="0"/>
            <w:vAlign w:val="center"/>
          </w:tcPr>
          <w:p>
            <w:pPr>
              <w:widowControl/>
              <w:spacing w:line="300" w:lineRule="exact"/>
              <w:jc w:val="center"/>
              <w:rPr>
                <w:color w:val="000000"/>
                <w:kern w:val="0"/>
                <w:sz w:val="21"/>
                <w:szCs w:val="21"/>
              </w:rPr>
            </w:pPr>
            <w:r>
              <w:rPr>
                <w:color w:val="000000"/>
                <w:kern w:val="0"/>
                <w:sz w:val="21"/>
                <w:szCs w:val="21"/>
              </w:rPr>
              <w:t>村级公益事业建设项目质量</w:t>
            </w:r>
          </w:p>
        </w:tc>
        <w:tc>
          <w:tcPr>
            <w:tcW w:w="1529" w:type="dxa"/>
            <w:noWrap w:val="0"/>
            <w:vAlign w:val="center"/>
          </w:tcPr>
          <w:p>
            <w:pPr>
              <w:widowControl/>
              <w:spacing w:line="300" w:lineRule="exact"/>
              <w:jc w:val="center"/>
              <w:rPr>
                <w:color w:val="000000"/>
                <w:kern w:val="0"/>
                <w:sz w:val="21"/>
                <w:szCs w:val="21"/>
              </w:rPr>
            </w:pPr>
            <w:r>
              <w:rPr>
                <w:rFonts w:eastAsia="宋体"/>
                <w:color w:val="000000"/>
                <w:kern w:val="0"/>
                <w:sz w:val="21"/>
                <w:szCs w:val="21"/>
              </w:rPr>
              <w:t>≧</w:t>
            </w:r>
            <w:r>
              <w:rPr>
                <w:color w:val="000000"/>
                <w:kern w:val="0"/>
                <w:sz w:val="21"/>
                <w:szCs w:val="21"/>
              </w:rPr>
              <w:t>95%</w:t>
            </w:r>
          </w:p>
        </w:tc>
        <w:tc>
          <w:tcPr>
            <w:tcW w:w="1268" w:type="dxa"/>
            <w:gridSpan w:val="3"/>
            <w:noWrap w:val="0"/>
            <w:vAlign w:val="center"/>
          </w:tcPr>
          <w:p>
            <w:pPr>
              <w:widowControl/>
              <w:spacing w:line="300" w:lineRule="exact"/>
              <w:jc w:val="center"/>
              <w:rPr>
                <w:color w:val="000000"/>
                <w:kern w:val="0"/>
                <w:sz w:val="21"/>
                <w:szCs w:val="21"/>
              </w:rPr>
            </w:pPr>
            <w:r>
              <w:rPr>
                <w:color w:val="000000"/>
                <w:kern w:val="0"/>
                <w:sz w:val="21"/>
                <w:szCs w:val="21"/>
              </w:rPr>
              <w:t>100%</w:t>
            </w:r>
          </w:p>
        </w:tc>
        <w:tc>
          <w:tcPr>
            <w:tcW w:w="780" w:type="dxa"/>
            <w:vMerge w:val="continue"/>
            <w:noWrap w:val="0"/>
            <w:vAlign w:val="center"/>
          </w:tcPr>
          <w:p>
            <w:pPr>
              <w:widowControl/>
              <w:spacing w:line="300" w:lineRule="exact"/>
              <w:jc w:val="center"/>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vMerge w:val="continue"/>
            <w:noWrap w:val="0"/>
            <w:vAlign w:val="center"/>
          </w:tcPr>
          <w:p>
            <w:pPr>
              <w:widowControl/>
              <w:spacing w:line="300" w:lineRule="exact"/>
              <w:jc w:val="center"/>
              <w:rPr>
                <w:color w:val="000000"/>
                <w:kern w:val="0"/>
                <w:sz w:val="21"/>
                <w:szCs w:val="21"/>
              </w:rPr>
            </w:pPr>
          </w:p>
        </w:tc>
        <w:tc>
          <w:tcPr>
            <w:tcW w:w="1164" w:type="dxa"/>
            <w:vMerge w:val="continue"/>
            <w:noWrap w:val="0"/>
            <w:vAlign w:val="center"/>
          </w:tcPr>
          <w:p>
            <w:pPr>
              <w:widowControl/>
              <w:spacing w:line="300" w:lineRule="exact"/>
              <w:jc w:val="center"/>
              <w:rPr>
                <w:color w:val="000000"/>
                <w:kern w:val="0"/>
                <w:sz w:val="21"/>
                <w:szCs w:val="21"/>
              </w:rPr>
            </w:pPr>
          </w:p>
        </w:tc>
        <w:tc>
          <w:tcPr>
            <w:tcW w:w="1134" w:type="dxa"/>
            <w:noWrap w:val="0"/>
            <w:vAlign w:val="center"/>
          </w:tcPr>
          <w:p>
            <w:pPr>
              <w:widowControl/>
              <w:spacing w:line="300" w:lineRule="exact"/>
              <w:jc w:val="center"/>
              <w:rPr>
                <w:color w:val="000000"/>
                <w:kern w:val="0"/>
                <w:sz w:val="21"/>
                <w:szCs w:val="21"/>
              </w:rPr>
            </w:pPr>
            <w:r>
              <w:rPr>
                <w:color w:val="000000"/>
                <w:kern w:val="0"/>
                <w:sz w:val="21"/>
                <w:szCs w:val="21"/>
              </w:rPr>
              <w:t>时效指标</w:t>
            </w:r>
          </w:p>
        </w:tc>
        <w:tc>
          <w:tcPr>
            <w:tcW w:w="3946" w:type="dxa"/>
            <w:gridSpan w:val="5"/>
            <w:noWrap w:val="0"/>
            <w:vAlign w:val="center"/>
          </w:tcPr>
          <w:p>
            <w:pPr>
              <w:widowControl/>
              <w:spacing w:line="300" w:lineRule="exact"/>
              <w:jc w:val="center"/>
              <w:rPr>
                <w:color w:val="000000"/>
                <w:kern w:val="0"/>
                <w:sz w:val="21"/>
                <w:szCs w:val="21"/>
              </w:rPr>
            </w:pPr>
            <w:r>
              <w:rPr>
                <w:color w:val="000000"/>
                <w:kern w:val="0"/>
                <w:sz w:val="21"/>
                <w:szCs w:val="21"/>
              </w:rPr>
              <w:t>项目完成时间</w:t>
            </w:r>
          </w:p>
        </w:tc>
        <w:tc>
          <w:tcPr>
            <w:tcW w:w="1529" w:type="dxa"/>
            <w:noWrap w:val="0"/>
            <w:vAlign w:val="center"/>
          </w:tcPr>
          <w:p>
            <w:pPr>
              <w:widowControl/>
              <w:spacing w:line="300" w:lineRule="exact"/>
              <w:jc w:val="center"/>
              <w:rPr>
                <w:color w:val="000000"/>
                <w:kern w:val="0"/>
                <w:sz w:val="21"/>
                <w:szCs w:val="21"/>
              </w:rPr>
            </w:pPr>
            <w:r>
              <w:rPr>
                <w:color w:val="000000"/>
                <w:kern w:val="0"/>
                <w:sz w:val="21"/>
                <w:szCs w:val="21"/>
              </w:rPr>
              <w:t>12月底前</w:t>
            </w:r>
          </w:p>
        </w:tc>
        <w:tc>
          <w:tcPr>
            <w:tcW w:w="1268" w:type="dxa"/>
            <w:gridSpan w:val="3"/>
            <w:noWrap w:val="0"/>
            <w:vAlign w:val="center"/>
          </w:tcPr>
          <w:p>
            <w:pPr>
              <w:widowControl/>
              <w:spacing w:line="300" w:lineRule="exact"/>
              <w:jc w:val="center"/>
              <w:rPr>
                <w:color w:val="000000"/>
                <w:kern w:val="0"/>
                <w:sz w:val="21"/>
                <w:szCs w:val="21"/>
              </w:rPr>
            </w:pPr>
            <w:r>
              <w:rPr>
                <w:color w:val="000000"/>
                <w:kern w:val="0"/>
                <w:sz w:val="21"/>
                <w:szCs w:val="21"/>
              </w:rPr>
              <w:t>12月</w:t>
            </w:r>
          </w:p>
        </w:tc>
        <w:tc>
          <w:tcPr>
            <w:tcW w:w="780" w:type="dxa"/>
            <w:vMerge w:val="continue"/>
            <w:noWrap w:val="0"/>
            <w:vAlign w:val="center"/>
          </w:tcPr>
          <w:p>
            <w:pPr>
              <w:widowControl/>
              <w:spacing w:line="300" w:lineRule="exact"/>
              <w:jc w:val="center"/>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vMerge w:val="continue"/>
            <w:noWrap w:val="0"/>
            <w:vAlign w:val="center"/>
          </w:tcPr>
          <w:p>
            <w:pPr>
              <w:widowControl/>
              <w:spacing w:line="300" w:lineRule="exact"/>
              <w:jc w:val="center"/>
              <w:rPr>
                <w:color w:val="000000"/>
                <w:kern w:val="0"/>
                <w:sz w:val="21"/>
                <w:szCs w:val="21"/>
              </w:rPr>
            </w:pPr>
          </w:p>
        </w:tc>
        <w:tc>
          <w:tcPr>
            <w:tcW w:w="1164" w:type="dxa"/>
            <w:noWrap w:val="0"/>
            <w:vAlign w:val="center"/>
          </w:tcPr>
          <w:p>
            <w:pPr>
              <w:widowControl/>
              <w:spacing w:line="300" w:lineRule="exact"/>
              <w:jc w:val="center"/>
              <w:rPr>
                <w:color w:val="000000"/>
                <w:kern w:val="0"/>
                <w:sz w:val="21"/>
                <w:szCs w:val="21"/>
              </w:rPr>
            </w:pPr>
            <w:r>
              <w:rPr>
                <w:color w:val="000000"/>
                <w:kern w:val="0"/>
                <w:sz w:val="21"/>
                <w:szCs w:val="21"/>
              </w:rPr>
              <w:t>效益指标5分</w:t>
            </w:r>
          </w:p>
        </w:tc>
        <w:tc>
          <w:tcPr>
            <w:tcW w:w="1134" w:type="dxa"/>
            <w:noWrap w:val="0"/>
            <w:vAlign w:val="center"/>
          </w:tcPr>
          <w:p>
            <w:pPr>
              <w:widowControl/>
              <w:spacing w:line="300" w:lineRule="exact"/>
              <w:jc w:val="center"/>
              <w:rPr>
                <w:color w:val="000000"/>
                <w:kern w:val="0"/>
                <w:sz w:val="21"/>
                <w:szCs w:val="21"/>
              </w:rPr>
            </w:pPr>
            <w:r>
              <w:rPr>
                <w:color w:val="000000"/>
                <w:kern w:val="0"/>
                <w:sz w:val="21"/>
                <w:szCs w:val="21"/>
              </w:rPr>
              <w:t>经济效益</w:t>
            </w:r>
            <w:r>
              <w:rPr>
                <w:color w:val="000000"/>
                <w:kern w:val="0"/>
                <w:sz w:val="21"/>
                <w:szCs w:val="21"/>
              </w:rPr>
              <w:br w:type="textWrapping"/>
            </w:r>
            <w:r>
              <w:rPr>
                <w:color w:val="000000"/>
                <w:kern w:val="0"/>
                <w:sz w:val="21"/>
                <w:szCs w:val="21"/>
              </w:rPr>
              <w:t>指标</w:t>
            </w:r>
          </w:p>
        </w:tc>
        <w:tc>
          <w:tcPr>
            <w:tcW w:w="3946" w:type="dxa"/>
            <w:gridSpan w:val="5"/>
            <w:noWrap w:val="0"/>
            <w:vAlign w:val="center"/>
          </w:tcPr>
          <w:p>
            <w:pPr>
              <w:widowControl/>
              <w:spacing w:line="300" w:lineRule="exact"/>
              <w:jc w:val="center"/>
              <w:rPr>
                <w:color w:val="000000"/>
                <w:kern w:val="0"/>
                <w:sz w:val="21"/>
                <w:szCs w:val="21"/>
              </w:rPr>
            </w:pPr>
            <w:r>
              <w:rPr>
                <w:color w:val="000000"/>
                <w:kern w:val="0"/>
                <w:sz w:val="21"/>
                <w:szCs w:val="21"/>
              </w:rPr>
              <w:t>村级公益事业建设项目经济效益</w:t>
            </w:r>
          </w:p>
        </w:tc>
        <w:tc>
          <w:tcPr>
            <w:tcW w:w="1529" w:type="dxa"/>
            <w:noWrap w:val="0"/>
            <w:vAlign w:val="center"/>
          </w:tcPr>
          <w:p>
            <w:pPr>
              <w:widowControl/>
              <w:spacing w:line="300" w:lineRule="exact"/>
              <w:jc w:val="center"/>
              <w:rPr>
                <w:color w:val="000000"/>
                <w:kern w:val="0"/>
                <w:sz w:val="21"/>
                <w:szCs w:val="21"/>
              </w:rPr>
            </w:pPr>
            <w:r>
              <w:rPr>
                <w:rFonts w:eastAsia="宋体"/>
                <w:color w:val="000000"/>
                <w:kern w:val="0"/>
                <w:sz w:val="21"/>
                <w:szCs w:val="21"/>
              </w:rPr>
              <w:t>≧</w:t>
            </w:r>
            <w:r>
              <w:rPr>
                <w:color w:val="000000"/>
                <w:kern w:val="0"/>
                <w:sz w:val="21"/>
                <w:szCs w:val="21"/>
              </w:rPr>
              <w:t>95%</w:t>
            </w:r>
          </w:p>
        </w:tc>
        <w:tc>
          <w:tcPr>
            <w:tcW w:w="1268" w:type="dxa"/>
            <w:gridSpan w:val="3"/>
            <w:noWrap w:val="0"/>
            <w:vAlign w:val="center"/>
          </w:tcPr>
          <w:p>
            <w:pPr>
              <w:widowControl/>
              <w:spacing w:line="300" w:lineRule="exact"/>
              <w:jc w:val="center"/>
              <w:rPr>
                <w:color w:val="000000"/>
                <w:kern w:val="0"/>
                <w:sz w:val="21"/>
                <w:szCs w:val="21"/>
              </w:rPr>
            </w:pPr>
            <w:r>
              <w:rPr>
                <w:color w:val="000000"/>
                <w:kern w:val="0"/>
                <w:sz w:val="21"/>
                <w:szCs w:val="21"/>
              </w:rPr>
              <w:t>100%</w:t>
            </w:r>
          </w:p>
        </w:tc>
        <w:tc>
          <w:tcPr>
            <w:tcW w:w="780" w:type="dxa"/>
            <w:noWrap w:val="0"/>
            <w:vAlign w:val="center"/>
          </w:tcPr>
          <w:p>
            <w:pPr>
              <w:widowControl/>
              <w:spacing w:line="300" w:lineRule="exact"/>
              <w:jc w:val="center"/>
              <w:rPr>
                <w:color w:val="000000"/>
                <w:kern w:val="0"/>
                <w:sz w:val="21"/>
                <w:szCs w:val="21"/>
              </w:rPr>
            </w:pPr>
            <w:r>
              <w:rPr>
                <w:color w:val="000000"/>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vMerge w:val="continue"/>
            <w:noWrap w:val="0"/>
            <w:vAlign w:val="center"/>
          </w:tcPr>
          <w:p>
            <w:pPr>
              <w:widowControl/>
              <w:spacing w:line="300" w:lineRule="exact"/>
              <w:jc w:val="center"/>
              <w:rPr>
                <w:color w:val="000000"/>
                <w:kern w:val="0"/>
                <w:sz w:val="21"/>
                <w:szCs w:val="21"/>
              </w:rPr>
            </w:pPr>
          </w:p>
        </w:tc>
        <w:tc>
          <w:tcPr>
            <w:tcW w:w="1164" w:type="dxa"/>
            <w:noWrap w:val="0"/>
            <w:vAlign w:val="center"/>
          </w:tcPr>
          <w:p>
            <w:pPr>
              <w:widowControl/>
              <w:spacing w:line="300" w:lineRule="exact"/>
              <w:jc w:val="center"/>
              <w:rPr>
                <w:color w:val="000000"/>
                <w:kern w:val="0"/>
                <w:sz w:val="21"/>
                <w:szCs w:val="21"/>
              </w:rPr>
            </w:pPr>
            <w:r>
              <w:rPr>
                <w:color w:val="000000"/>
                <w:kern w:val="0"/>
                <w:sz w:val="21"/>
                <w:szCs w:val="21"/>
              </w:rPr>
              <w:t>满意度     指标 5分</w:t>
            </w:r>
          </w:p>
        </w:tc>
        <w:tc>
          <w:tcPr>
            <w:tcW w:w="1134" w:type="dxa"/>
            <w:noWrap w:val="0"/>
            <w:vAlign w:val="center"/>
          </w:tcPr>
          <w:p>
            <w:pPr>
              <w:widowControl/>
              <w:spacing w:line="300" w:lineRule="exact"/>
              <w:jc w:val="center"/>
              <w:rPr>
                <w:color w:val="000000"/>
                <w:kern w:val="0"/>
                <w:sz w:val="21"/>
                <w:szCs w:val="21"/>
              </w:rPr>
            </w:pPr>
            <w:r>
              <w:rPr>
                <w:color w:val="000000"/>
                <w:kern w:val="0"/>
                <w:sz w:val="21"/>
                <w:szCs w:val="21"/>
              </w:rPr>
              <w:t>受益群众</w:t>
            </w:r>
          </w:p>
        </w:tc>
        <w:tc>
          <w:tcPr>
            <w:tcW w:w="3946" w:type="dxa"/>
            <w:gridSpan w:val="5"/>
            <w:noWrap w:val="0"/>
            <w:vAlign w:val="center"/>
          </w:tcPr>
          <w:p>
            <w:pPr>
              <w:widowControl/>
              <w:spacing w:line="300" w:lineRule="exact"/>
              <w:jc w:val="center"/>
              <w:rPr>
                <w:color w:val="000000"/>
                <w:kern w:val="0"/>
                <w:sz w:val="21"/>
                <w:szCs w:val="21"/>
              </w:rPr>
            </w:pPr>
            <w:r>
              <w:rPr>
                <w:color w:val="000000"/>
                <w:kern w:val="0"/>
                <w:sz w:val="21"/>
                <w:szCs w:val="21"/>
              </w:rPr>
              <w:t>群众满意度</w:t>
            </w:r>
          </w:p>
        </w:tc>
        <w:tc>
          <w:tcPr>
            <w:tcW w:w="1529" w:type="dxa"/>
            <w:noWrap w:val="0"/>
            <w:vAlign w:val="center"/>
          </w:tcPr>
          <w:p>
            <w:pPr>
              <w:widowControl/>
              <w:spacing w:line="300" w:lineRule="exact"/>
              <w:jc w:val="center"/>
              <w:rPr>
                <w:color w:val="000000"/>
                <w:kern w:val="0"/>
                <w:sz w:val="21"/>
                <w:szCs w:val="21"/>
              </w:rPr>
            </w:pPr>
            <w:r>
              <w:rPr>
                <w:rFonts w:eastAsia="宋体"/>
                <w:color w:val="000000"/>
                <w:kern w:val="0"/>
                <w:sz w:val="21"/>
                <w:szCs w:val="21"/>
              </w:rPr>
              <w:t>≧</w:t>
            </w:r>
            <w:r>
              <w:rPr>
                <w:color w:val="000000"/>
                <w:kern w:val="0"/>
                <w:sz w:val="21"/>
                <w:szCs w:val="21"/>
              </w:rPr>
              <w:t>95%</w:t>
            </w:r>
          </w:p>
        </w:tc>
        <w:tc>
          <w:tcPr>
            <w:tcW w:w="1268" w:type="dxa"/>
            <w:gridSpan w:val="3"/>
            <w:noWrap w:val="0"/>
            <w:vAlign w:val="center"/>
          </w:tcPr>
          <w:p>
            <w:pPr>
              <w:widowControl/>
              <w:spacing w:line="300" w:lineRule="exact"/>
              <w:jc w:val="center"/>
              <w:rPr>
                <w:color w:val="000000"/>
                <w:kern w:val="0"/>
                <w:sz w:val="21"/>
                <w:szCs w:val="21"/>
              </w:rPr>
            </w:pPr>
            <w:r>
              <w:rPr>
                <w:color w:val="000000"/>
                <w:kern w:val="0"/>
                <w:sz w:val="21"/>
                <w:szCs w:val="21"/>
              </w:rPr>
              <w:t>93%</w:t>
            </w:r>
          </w:p>
        </w:tc>
        <w:tc>
          <w:tcPr>
            <w:tcW w:w="780" w:type="dxa"/>
            <w:noWrap w:val="0"/>
            <w:vAlign w:val="center"/>
          </w:tcPr>
          <w:p>
            <w:pPr>
              <w:widowControl/>
              <w:spacing w:line="300" w:lineRule="exact"/>
              <w:jc w:val="center"/>
              <w:rPr>
                <w:color w:val="000000"/>
                <w:kern w:val="0"/>
                <w:sz w:val="21"/>
                <w:szCs w:val="21"/>
              </w:rPr>
            </w:pPr>
            <w:r>
              <w:rPr>
                <w:color w:val="000000"/>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noWrap w:val="0"/>
            <w:vAlign w:val="center"/>
          </w:tcPr>
          <w:p>
            <w:pPr>
              <w:widowControl/>
              <w:spacing w:line="300" w:lineRule="exact"/>
              <w:jc w:val="center"/>
              <w:rPr>
                <w:color w:val="000000"/>
                <w:kern w:val="0"/>
                <w:sz w:val="21"/>
                <w:szCs w:val="21"/>
              </w:rPr>
            </w:pPr>
            <w:r>
              <w:rPr>
                <w:color w:val="000000"/>
                <w:kern w:val="0"/>
                <w:sz w:val="21"/>
                <w:szCs w:val="21"/>
              </w:rPr>
              <w:t>分值合计</w:t>
            </w:r>
          </w:p>
        </w:tc>
        <w:tc>
          <w:tcPr>
            <w:tcW w:w="1164" w:type="dxa"/>
            <w:noWrap w:val="0"/>
            <w:vAlign w:val="center"/>
          </w:tcPr>
          <w:p>
            <w:pPr>
              <w:widowControl/>
              <w:spacing w:line="300" w:lineRule="exact"/>
              <w:jc w:val="center"/>
              <w:rPr>
                <w:color w:val="000000"/>
                <w:kern w:val="0"/>
                <w:sz w:val="21"/>
                <w:szCs w:val="21"/>
              </w:rPr>
            </w:pPr>
            <w:r>
              <w:rPr>
                <w:color w:val="000000"/>
                <w:kern w:val="0"/>
                <w:sz w:val="21"/>
                <w:szCs w:val="21"/>
              </w:rPr>
              <w:t>100分</w:t>
            </w:r>
          </w:p>
        </w:tc>
        <w:tc>
          <w:tcPr>
            <w:tcW w:w="1134" w:type="dxa"/>
            <w:noWrap w:val="0"/>
            <w:vAlign w:val="center"/>
          </w:tcPr>
          <w:p>
            <w:pPr>
              <w:widowControl/>
              <w:spacing w:line="300" w:lineRule="exact"/>
              <w:jc w:val="right"/>
              <w:rPr>
                <w:color w:val="000000"/>
                <w:kern w:val="0"/>
                <w:sz w:val="21"/>
                <w:szCs w:val="21"/>
              </w:rPr>
            </w:pPr>
          </w:p>
        </w:tc>
        <w:tc>
          <w:tcPr>
            <w:tcW w:w="3940" w:type="dxa"/>
            <w:gridSpan w:val="4"/>
            <w:noWrap w:val="0"/>
            <w:vAlign w:val="center"/>
          </w:tcPr>
          <w:p>
            <w:pPr>
              <w:widowControl/>
              <w:spacing w:line="300" w:lineRule="exact"/>
              <w:jc w:val="right"/>
              <w:rPr>
                <w:color w:val="000000"/>
                <w:kern w:val="0"/>
                <w:sz w:val="21"/>
                <w:szCs w:val="21"/>
              </w:rPr>
            </w:pPr>
          </w:p>
        </w:tc>
        <w:tc>
          <w:tcPr>
            <w:tcW w:w="1535" w:type="dxa"/>
            <w:gridSpan w:val="2"/>
            <w:noWrap w:val="0"/>
            <w:vAlign w:val="center"/>
          </w:tcPr>
          <w:p>
            <w:pPr>
              <w:widowControl/>
              <w:spacing w:line="300" w:lineRule="exact"/>
              <w:jc w:val="right"/>
              <w:rPr>
                <w:color w:val="000000"/>
                <w:kern w:val="0"/>
                <w:sz w:val="21"/>
                <w:szCs w:val="21"/>
              </w:rPr>
            </w:pPr>
          </w:p>
        </w:tc>
        <w:tc>
          <w:tcPr>
            <w:tcW w:w="1262" w:type="dxa"/>
            <w:gridSpan w:val="2"/>
            <w:noWrap w:val="0"/>
            <w:vAlign w:val="center"/>
          </w:tcPr>
          <w:p>
            <w:pPr>
              <w:widowControl/>
              <w:spacing w:line="300" w:lineRule="exact"/>
              <w:jc w:val="right"/>
              <w:rPr>
                <w:color w:val="000000"/>
                <w:kern w:val="0"/>
                <w:sz w:val="21"/>
                <w:szCs w:val="21"/>
              </w:rPr>
            </w:pPr>
          </w:p>
        </w:tc>
        <w:tc>
          <w:tcPr>
            <w:tcW w:w="786" w:type="dxa"/>
            <w:gridSpan w:val="2"/>
            <w:noWrap w:val="0"/>
            <w:vAlign w:val="center"/>
          </w:tcPr>
          <w:p>
            <w:pPr>
              <w:spacing w:line="300" w:lineRule="exact"/>
              <w:jc w:val="center"/>
              <w:rPr>
                <w:rFonts w:hint="eastAsia" w:eastAsia="仿宋_GB2312"/>
                <w:color w:val="000000"/>
                <w:kern w:val="0"/>
                <w:sz w:val="21"/>
                <w:szCs w:val="21"/>
                <w:lang w:val="en-US" w:eastAsia="zh-CN"/>
              </w:rPr>
            </w:pPr>
            <w:r>
              <w:rPr>
                <w:color w:val="000000"/>
                <w:kern w:val="0"/>
                <w:sz w:val="21"/>
                <w:szCs w:val="21"/>
              </w:rPr>
              <w:t>9</w:t>
            </w:r>
            <w:r>
              <w:rPr>
                <w:rFonts w:hint="eastAsia"/>
                <w:color w:val="000000"/>
                <w:kern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gridSpan w:val="2"/>
            <w:noWrap w:val="0"/>
            <w:vAlign w:val="center"/>
          </w:tcPr>
          <w:p>
            <w:pPr>
              <w:widowControl/>
              <w:spacing w:line="300" w:lineRule="exact"/>
              <w:jc w:val="center"/>
              <w:rPr>
                <w:color w:val="000000"/>
                <w:kern w:val="0"/>
                <w:sz w:val="21"/>
                <w:szCs w:val="21"/>
              </w:rPr>
            </w:pPr>
            <w:r>
              <w:rPr>
                <w:color w:val="000000"/>
                <w:kern w:val="0"/>
                <w:sz w:val="21"/>
                <w:szCs w:val="21"/>
              </w:rPr>
              <w:t>偏差大或目标未完成原因分析</w:t>
            </w:r>
          </w:p>
        </w:tc>
        <w:tc>
          <w:tcPr>
            <w:tcW w:w="8657" w:type="dxa"/>
            <w:gridSpan w:val="11"/>
            <w:noWrap w:val="0"/>
            <w:vAlign w:val="center"/>
          </w:tcPr>
          <w:p>
            <w:pPr>
              <w:widowControl/>
              <w:spacing w:line="300" w:lineRule="exact"/>
              <w:jc w:val="left"/>
              <w:rPr>
                <w:color w:val="000000"/>
                <w:kern w:val="0"/>
                <w:sz w:val="21"/>
                <w:szCs w:val="21"/>
              </w:rPr>
            </w:pPr>
            <w:r>
              <w:rPr>
                <w:color w:val="000000"/>
                <w:kern w:val="0"/>
                <w:sz w:val="21"/>
                <w:szCs w:val="21"/>
              </w:rPr>
              <w:t>1.政策宣传不够；2.年度部分指标值（合格率）有待进一步提高。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gridSpan w:val="2"/>
            <w:noWrap w:val="0"/>
            <w:vAlign w:val="center"/>
          </w:tcPr>
          <w:p>
            <w:pPr>
              <w:widowControl/>
              <w:spacing w:line="300" w:lineRule="exact"/>
              <w:jc w:val="center"/>
              <w:rPr>
                <w:color w:val="000000"/>
                <w:kern w:val="0"/>
                <w:sz w:val="21"/>
                <w:szCs w:val="21"/>
              </w:rPr>
            </w:pPr>
            <w:r>
              <w:rPr>
                <w:color w:val="000000"/>
                <w:kern w:val="0"/>
                <w:sz w:val="21"/>
                <w:szCs w:val="21"/>
              </w:rPr>
              <w:t>改进措施及结果应用方案</w:t>
            </w:r>
          </w:p>
        </w:tc>
        <w:tc>
          <w:tcPr>
            <w:tcW w:w="8657" w:type="dxa"/>
            <w:gridSpan w:val="11"/>
            <w:noWrap w:val="0"/>
            <w:vAlign w:val="center"/>
          </w:tcPr>
          <w:p>
            <w:pPr>
              <w:widowControl/>
              <w:spacing w:line="300" w:lineRule="exact"/>
              <w:jc w:val="left"/>
              <w:rPr>
                <w:color w:val="000000"/>
                <w:kern w:val="0"/>
                <w:sz w:val="21"/>
                <w:szCs w:val="21"/>
              </w:rPr>
            </w:pPr>
            <w:r>
              <w:rPr>
                <w:color w:val="000000"/>
                <w:kern w:val="0"/>
                <w:sz w:val="21"/>
                <w:szCs w:val="21"/>
              </w:rPr>
              <w:t>1.积极宣扬财政法律知识和财政政策，提高群众政策知晓度；2.热情接待来访群众，耐心做好群众解释工作；3.进一步优化部门整体支出绩效评价指标，力求科学，实用。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gridSpan w:val="2"/>
            <w:noWrap w:val="0"/>
            <w:vAlign w:val="center"/>
          </w:tcPr>
          <w:p>
            <w:pPr>
              <w:widowControl/>
              <w:spacing w:line="300" w:lineRule="exact"/>
              <w:jc w:val="center"/>
              <w:rPr>
                <w:color w:val="000000"/>
                <w:kern w:val="0"/>
                <w:sz w:val="21"/>
                <w:szCs w:val="21"/>
              </w:rPr>
            </w:pPr>
            <w:r>
              <w:rPr>
                <w:color w:val="000000"/>
                <w:kern w:val="0"/>
                <w:sz w:val="21"/>
                <w:szCs w:val="21"/>
              </w:rPr>
              <w:t>备注</w:t>
            </w:r>
          </w:p>
        </w:tc>
        <w:tc>
          <w:tcPr>
            <w:tcW w:w="8657" w:type="dxa"/>
            <w:gridSpan w:val="11"/>
            <w:noWrap w:val="0"/>
            <w:vAlign w:val="center"/>
          </w:tcPr>
          <w:p>
            <w:pPr>
              <w:widowControl/>
              <w:spacing w:line="300" w:lineRule="exact"/>
              <w:jc w:val="left"/>
              <w:rPr>
                <w:color w:val="000000"/>
                <w:kern w:val="0"/>
                <w:sz w:val="21"/>
                <w:szCs w:val="21"/>
              </w:rPr>
            </w:pPr>
            <w:r>
              <w:rPr>
                <w:color w:val="000000"/>
                <w:kern w:val="0"/>
                <w:sz w:val="21"/>
                <w:szCs w:val="21"/>
              </w:rPr>
              <w:t>1.预算执行情况口径：预算数为调整后财政资金总额（包括上年结余结转），执行数为资金使用单位财政资金实际支出数。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3.定性指标计分原则：达成预期指标、部分达成预期指标并具有一定效果、未达成预期指标且效果较差三档，分别按照该指标对应分值区间100%—80%（含80%）、80%—50%（含50%）、50%-0%合理确定分值。汇总时，以资金额度为权重，对分值进行加权平均计算。</w:t>
            </w:r>
          </w:p>
        </w:tc>
      </w:tr>
    </w:tbl>
    <w:p>
      <w:pPr>
        <w:bidi w:val="0"/>
        <w:jc w:val="both"/>
        <w:rPr>
          <w:rFonts w:hint="eastAsia"/>
          <w:lang w:val="en-US" w:eastAsia="zh-CN"/>
        </w:rPr>
      </w:pPr>
    </w:p>
    <w:p>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二、2024年度村级公益事业建设项目绩效评价自评报告</w:t>
      </w:r>
    </w:p>
    <w:p>
      <w:pPr>
        <w:widowControl/>
        <w:spacing w:line="540" w:lineRule="exact"/>
        <w:ind w:firstLine="640" w:firstLineChars="200"/>
        <w:jc w:val="left"/>
        <w:rPr>
          <w:color w:val="000000"/>
        </w:rPr>
      </w:pPr>
      <w:r>
        <w:rPr>
          <w:rFonts w:hint="eastAsia"/>
          <w:lang w:val="en-US" w:eastAsia="zh-CN"/>
        </w:rPr>
        <w:t xml:space="preserve">    </w:t>
      </w:r>
      <w:r>
        <w:rPr>
          <w:rFonts w:eastAsia="黑体"/>
          <w:color w:val="000000"/>
          <w:kern w:val="0"/>
          <w:sz w:val="31"/>
          <w:szCs w:val="31"/>
          <w:lang w:bidi="ar"/>
        </w:rPr>
        <w:t xml:space="preserve">自评结论 </w:t>
      </w:r>
    </w:p>
    <w:p>
      <w:pPr>
        <w:widowControl/>
        <w:spacing w:line="540" w:lineRule="exact"/>
        <w:ind w:firstLine="620" w:firstLineChars="200"/>
        <w:jc w:val="left"/>
        <w:rPr>
          <w:color w:val="000000"/>
        </w:rPr>
      </w:pPr>
      <w:r>
        <w:rPr>
          <w:rFonts w:eastAsia="楷体_GB2312"/>
          <w:color w:val="000000"/>
          <w:kern w:val="0"/>
          <w:sz w:val="31"/>
          <w:szCs w:val="31"/>
          <w:lang w:bidi="ar"/>
        </w:rPr>
        <w:t xml:space="preserve">一、自评得分 </w:t>
      </w:r>
    </w:p>
    <w:p>
      <w:pPr>
        <w:widowControl/>
        <w:spacing w:line="540" w:lineRule="exact"/>
        <w:ind w:firstLine="620" w:firstLineChars="200"/>
        <w:jc w:val="left"/>
        <w:rPr>
          <w:color w:val="000000"/>
        </w:rPr>
      </w:pPr>
      <w:r>
        <w:rPr>
          <w:color w:val="000000"/>
          <w:kern w:val="0"/>
          <w:sz w:val="31"/>
          <w:szCs w:val="31"/>
          <w:lang w:bidi="ar"/>
        </w:rPr>
        <w:t>经综合评价，2023</w:t>
      </w:r>
      <w:r>
        <w:rPr>
          <w:rFonts w:hint="eastAsia"/>
          <w:color w:val="000000"/>
          <w:kern w:val="0"/>
          <w:sz w:val="31"/>
          <w:szCs w:val="31"/>
          <w:lang w:val="en-US" w:eastAsia="zh-CN" w:bidi="ar"/>
        </w:rPr>
        <w:t>4</w:t>
      </w:r>
      <w:r>
        <w:rPr>
          <w:color w:val="000000"/>
          <w:kern w:val="0"/>
          <w:sz w:val="31"/>
          <w:szCs w:val="31"/>
          <w:lang w:bidi="ar"/>
        </w:rPr>
        <w:t xml:space="preserve">年村级公益事业、农村基础设施等项目建设综合评分为 95 分。 </w:t>
      </w:r>
    </w:p>
    <w:p>
      <w:pPr>
        <w:widowControl/>
        <w:spacing w:line="540" w:lineRule="exact"/>
        <w:ind w:firstLine="620" w:firstLineChars="200"/>
        <w:jc w:val="left"/>
        <w:rPr>
          <w:color w:val="000000"/>
        </w:rPr>
      </w:pPr>
      <w:r>
        <w:rPr>
          <w:rFonts w:eastAsia="楷体_GB2312"/>
          <w:color w:val="000000"/>
          <w:kern w:val="0"/>
          <w:sz w:val="31"/>
          <w:szCs w:val="31"/>
          <w:lang w:bidi="ar"/>
        </w:rPr>
        <w:t xml:space="preserve">二、绩效目标完成情况 </w:t>
      </w:r>
    </w:p>
    <w:p>
      <w:pPr>
        <w:widowControl/>
        <w:spacing w:line="540" w:lineRule="exact"/>
        <w:ind w:firstLine="620" w:firstLineChars="200"/>
        <w:jc w:val="left"/>
        <w:rPr>
          <w:color w:val="000000"/>
        </w:rPr>
      </w:pPr>
      <w:r>
        <w:rPr>
          <w:color w:val="000000"/>
          <w:kern w:val="0"/>
          <w:sz w:val="31"/>
          <w:szCs w:val="31"/>
          <w:lang w:bidi="ar"/>
        </w:rPr>
        <w:t xml:space="preserve">（一）执行率情况 </w:t>
      </w:r>
    </w:p>
    <w:p>
      <w:pPr>
        <w:widowControl/>
        <w:spacing w:line="540" w:lineRule="exact"/>
        <w:ind w:firstLine="620" w:firstLineChars="200"/>
        <w:jc w:val="left"/>
        <w:rPr>
          <w:color w:val="000000"/>
        </w:rPr>
      </w:pPr>
      <w:r>
        <w:rPr>
          <w:color w:val="000000"/>
          <w:kern w:val="0"/>
          <w:sz w:val="31"/>
          <w:szCs w:val="31"/>
          <w:lang w:bidi="ar"/>
        </w:rPr>
        <w:t>村级公益事业建设</w:t>
      </w:r>
      <w:r>
        <w:rPr>
          <w:rFonts w:hint="eastAsia"/>
          <w:color w:val="000000"/>
          <w:kern w:val="0"/>
          <w:sz w:val="31"/>
          <w:szCs w:val="31"/>
          <w:lang w:val="en-US" w:eastAsia="zh-CN" w:bidi="ar"/>
        </w:rPr>
        <w:t>项目</w:t>
      </w:r>
      <w:r>
        <w:rPr>
          <w:color w:val="000000"/>
          <w:kern w:val="0"/>
          <w:sz w:val="31"/>
          <w:szCs w:val="31"/>
          <w:lang w:bidi="ar"/>
        </w:rPr>
        <w:t>年初预算金额 0万元，调整后预算金额</w:t>
      </w:r>
      <w:r>
        <w:rPr>
          <w:rFonts w:hint="eastAsia"/>
          <w:color w:val="000000"/>
          <w:kern w:val="0"/>
          <w:sz w:val="31"/>
          <w:szCs w:val="31"/>
          <w:lang w:val="en-US" w:eastAsia="zh-CN" w:bidi="ar"/>
        </w:rPr>
        <w:t>25</w:t>
      </w:r>
      <w:r>
        <w:rPr>
          <w:color w:val="000000"/>
          <w:kern w:val="0"/>
          <w:sz w:val="31"/>
          <w:szCs w:val="31"/>
          <w:lang w:bidi="ar"/>
        </w:rPr>
        <w:t>万元，执行数</w:t>
      </w:r>
      <w:r>
        <w:rPr>
          <w:rFonts w:hint="eastAsia"/>
          <w:color w:val="000000"/>
          <w:kern w:val="0"/>
          <w:sz w:val="31"/>
          <w:szCs w:val="31"/>
          <w:lang w:val="en-US" w:eastAsia="zh-CN" w:bidi="ar"/>
        </w:rPr>
        <w:t>25</w:t>
      </w:r>
      <w:r>
        <w:rPr>
          <w:color w:val="000000"/>
          <w:kern w:val="0"/>
          <w:sz w:val="31"/>
          <w:szCs w:val="31"/>
          <w:lang w:bidi="ar"/>
        </w:rPr>
        <w:t xml:space="preserve">万元，资金执行率 100%。 </w:t>
      </w:r>
    </w:p>
    <w:p>
      <w:pPr>
        <w:widowControl/>
        <w:spacing w:line="540" w:lineRule="exact"/>
        <w:ind w:firstLine="620" w:firstLineChars="200"/>
        <w:jc w:val="left"/>
        <w:rPr>
          <w:color w:val="000000"/>
        </w:rPr>
      </w:pPr>
      <w:r>
        <w:rPr>
          <w:color w:val="000000"/>
          <w:kern w:val="0"/>
          <w:sz w:val="31"/>
          <w:szCs w:val="31"/>
          <w:lang w:bidi="ar"/>
        </w:rPr>
        <w:t xml:space="preserve">（二）完成的绩效目标 </w:t>
      </w:r>
    </w:p>
    <w:p>
      <w:pPr>
        <w:widowControl/>
        <w:spacing w:line="540" w:lineRule="exact"/>
        <w:ind w:firstLine="620" w:firstLineChars="200"/>
        <w:jc w:val="left"/>
        <w:rPr>
          <w:color w:val="000000"/>
          <w:kern w:val="0"/>
          <w:sz w:val="31"/>
          <w:szCs w:val="31"/>
          <w:lang w:bidi="ar"/>
        </w:rPr>
      </w:pPr>
      <w:r>
        <w:rPr>
          <w:color w:val="000000"/>
          <w:kern w:val="0"/>
          <w:sz w:val="31"/>
          <w:szCs w:val="31"/>
          <w:lang w:bidi="ar"/>
        </w:rPr>
        <w:t>村级公益事业建设</w:t>
      </w:r>
      <w:r>
        <w:rPr>
          <w:rFonts w:hint="eastAsia"/>
          <w:color w:val="000000"/>
          <w:kern w:val="0"/>
          <w:sz w:val="31"/>
          <w:szCs w:val="31"/>
          <w:lang w:val="en-US" w:eastAsia="zh-CN" w:bidi="ar"/>
        </w:rPr>
        <w:t>项目</w:t>
      </w:r>
      <w:r>
        <w:rPr>
          <w:color w:val="000000"/>
          <w:kern w:val="0"/>
          <w:sz w:val="31"/>
          <w:szCs w:val="31"/>
          <w:lang w:bidi="ar"/>
        </w:rPr>
        <w:t>共设</w:t>
      </w:r>
      <w:r>
        <w:rPr>
          <w:kern w:val="0"/>
          <w:sz w:val="31"/>
          <w:szCs w:val="31"/>
          <w:lang w:bidi="ar"/>
        </w:rPr>
        <w:t>置</w:t>
      </w:r>
      <w:r>
        <w:rPr>
          <w:rFonts w:hint="eastAsia"/>
          <w:kern w:val="0"/>
          <w:sz w:val="31"/>
          <w:szCs w:val="31"/>
          <w:lang w:val="en-US" w:eastAsia="zh-CN" w:bidi="ar"/>
        </w:rPr>
        <w:t>6</w:t>
      </w:r>
      <w:r>
        <w:rPr>
          <w:kern w:val="0"/>
          <w:sz w:val="31"/>
          <w:szCs w:val="31"/>
          <w:lang w:bidi="ar"/>
        </w:rPr>
        <w:t>个绩效指标，完成绩效目标的指标有</w:t>
      </w:r>
      <w:r>
        <w:rPr>
          <w:rFonts w:hint="eastAsia"/>
          <w:kern w:val="0"/>
          <w:sz w:val="31"/>
          <w:szCs w:val="31"/>
          <w:lang w:val="en-US" w:eastAsia="zh-CN" w:bidi="ar"/>
        </w:rPr>
        <w:t>5</w:t>
      </w:r>
      <w:r>
        <w:rPr>
          <w:kern w:val="0"/>
          <w:sz w:val="31"/>
          <w:szCs w:val="31"/>
          <w:lang w:bidi="ar"/>
        </w:rPr>
        <w:t xml:space="preserve">个。 </w:t>
      </w:r>
    </w:p>
    <w:p>
      <w:pPr>
        <w:widowControl/>
        <w:spacing w:line="540" w:lineRule="exact"/>
        <w:ind w:firstLine="620" w:firstLineChars="200"/>
        <w:jc w:val="left"/>
        <w:rPr>
          <w:color w:val="000000"/>
          <w:kern w:val="0"/>
          <w:sz w:val="31"/>
          <w:szCs w:val="31"/>
          <w:lang w:bidi="ar"/>
        </w:rPr>
      </w:pPr>
      <w:r>
        <w:rPr>
          <w:color w:val="000000"/>
          <w:kern w:val="0"/>
          <w:sz w:val="31"/>
          <w:szCs w:val="31"/>
          <w:lang w:bidi="ar"/>
        </w:rPr>
        <w:t xml:space="preserve">（三）未完成的绩效目标 </w:t>
      </w:r>
    </w:p>
    <w:p>
      <w:pPr>
        <w:widowControl/>
        <w:spacing w:line="540" w:lineRule="exact"/>
        <w:ind w:firstLine="620" w:firstLineChars="200"/>
        <w:jc w:val="left"/>
        <w:rPr>
          <w:color w:val="000000"/>
          <w:kern w:val="0"/>
          <w:sz w:val="31"/>
          <w:szCs w:val="31"/>
          <w:lang w:bidi="ar"/>
        </w:rPr>
      </w:pPr>
      <w:r>
        <w:rPr>
          <w:color w:val="000000"/>
          <w:kern w:val="0"/>
          <w:sz w:val="31"/>
          <w:szCs w:val="31"/>
          <w:lang w:bidi="ar"/>
        </w:rPr>
        <w:t xml:space="preserve">受益群众满意度绩效指标未完成年初绩效目标。 </w:t>
      </w:r>
    </w:p>
    <w:p>
      <w:pPr>
        <w:widowControl/>
        <w:spacing w:line="540" w:lineRule="exact"/>
        <w:ind w:firstLine="620" w:firstLineChars="200"/>
        <w:jc w:val="left"/>
        <w:rPr>
          <w:rFonts w:eastAsia="楷体"/>
          <w:color w:val="000000"/>
        </w:rPr>
      </w:pPr>
      <w:r>
        <w:rPr>
          <w:rFonts w:eastAsia="楷体"/>
          <w:color w:val="000000"/>
          <w:kern w:val="0"/>
          <w:sz w:val="31"/>
          <w:szCs w:val="31"/>
          <w:lang w:bidi="ar"/>
        </w:rPr>
        <w:t xml:space="preserve">三、存在的问题 </w:t>
      </w:r>
    </w:p>
    <w:p>
      <w:pPr>
        <w:widowControl/>
        <w:spacing w:line="540" w:lineRule="exact"/>
        <w:jc w:val="left"/>
        <w:rPr>
          <w:color w:val="000000"/>
          <w:lang w:bidi="ar"/>
        </w:rPr>
      </w:pPr>
      <w:r>
        <w:rPr>
          <w:color w:val="000000"/>
          <w:kern w:val="0"/>
          <w:sz w:val="31"/>
          <w:szCs w:val="31"/>
          <w:lang w:bidi="ar"/>
        </w:rPr>
        <w:t xml:space="preserve">    </w:t>
      </w:r>
      <w:r>
        <w:rPr>
          <w:color w:val="000000"/>
          <w:lang w:bidi="ar"/>
        </w:rPr>
        <w:t>（一）政策宣传不够。</w:t>
      </w:r>
    </w:p>
    <w:p>
      <w:pPr>
        <w:widowControl/>
        <w:spacing w:line="540" w:lineRule="exact"/>
        <w:ind w:firstLine="640" w:firstLineChars="200"/>
        <w:jc w:val="left"/>
        <w:rPr>
          <w:color w:val="000000"/>
          <w:sz w:val="31"/>
          <w:szCs w:val="31"/>
        </w:rPr>
      </w:pPr>
      <w:r>
        <w:rPr>
          <w:color w:val="000000"/>
          <w:lang w:bidi="ar"/>
        </w:rPr>
        <w:t>（二）年度部分指标值（合格率）有待进一步提高。</w:t>
      </w:r>
    </w:p>
    <w:p>
      <w:pPr>
        <w:widowControl/>
        <w:spacing w:line="540" w:lineRule="exact"/>
        <w:ind w:firstLine="620" w:firstLineChars="200"/>
        <w:jc w:val="left"/>
        <w:rPr>
          <w:color w:val="000000"/>
        </w:rPr>
      </w:pPr>
      <w:r>
        <w:rPr>
          <w:rFonts w:eastAsia="楷体"/>
          <w:color w:val="000000"/>
          <w:kern w:val="0"/>
          <w:sz w:val="31"/>
          <w:szCs w:val="31"/>
          <w:lang w:bidi="ar"/>
        </w:rPr>
        <w:t>四、下一步的改进措施</w:t>
      </w:r>
      <w:r>
        <w:rPr>
          <w:rFonts w:eastAsia="楷体_GB2312"/>
          <w:color w:val="000000"/>
          <w:kern w:val="0"/>
          <w:sz w:val="31"/>
          <w:szCs w:val="31"/>
          <w:lang w:bidi="ar"/>
        </w:rPr>
        <w:t xml:space="preserve"> </w:t>
      </w:r>
      <w:r>
        <w:rPr>
          <w:color w:val="000000"/>
          <w:kern w:val="0"/>
          <w:sz w:val="31"/>
          <w:szCs w:val="31"/>
          <w:lang w:bidi="ar"/>
        </w:rPr>
        <w:t xml:space="preserve"> </w:t>
      </w:r>
    </w:p>
    <w:p>
      <w:pPr>
        <w:widowControl/>
        <w:spacing w:line="540" w:lineRule="exact"/>
        <w:ind w:firstLine="620" w:firstLineChars="200"/>
        <w:rPr>
          <w:color w:val="000000"/>
          <w:kern w:val="0"/>
          <w:sz w:val="31"/>
          <w:szCs w:val="31"/>
          <w:lang w:bidi="ar"/>
        </w:rPr>
      </w:pPr>
      <w:r>
        <w:rPr>
          <w:color w:val="000000"/>
          <w:kern w:val="0"/>
          <w:sz w:val="31"/>
          <w:szCs w:val="31"/>
          <w:lang w:bidi="ar"/>
        </w:rPr>
        <w:t>（一） 积极宣扬财政法律知识和财政政策，提高群众政策知晓程度。</w:t>
      </w:r>
    </w:p>
    <w:p>
      <w:pPr>
        <w:widowControl/>
        <w:spacing w:line="540" w:lineRule="exact"/>
        <w:ind w:firstLine="620" w:firstLineChars="200"/>
        <w:rPr>
          <w:color w:val="000000"/>
          <w:kern w:val="0"/>
          <w:sz w:val="31"/>
          <w:szCs w:val="31"/>
          <w:lang w:bidi="ar"/>
        </w:rPr>
      </w:pPr>
      <w:r>
        <w:rPr>
          <w:color w:val="000000"/>
          <w:kern w:val="0"/>
          <w:sz w:val="31"/>
          <w:szCs w:val="31"/>
          <w:lang w:bidi="ar"/>
        </w:rPr>
        <w:t>（二）热情接待来访群众，耐性做好群众解释工作。</w:t>
      </w:r>
    </w:p>
    <w:p>
      <w:pPr>
        <w:widowControl/>
        <w:spacing w:line="540" w:lineRule="exact"/>
        <w:ind w:firstLine="620" w:firstLineChars="200"/>
        <w:jc w:val="left"/>
        <w:rPr>
          <w:color w:val="000000"/>
          <w:kern w:val="0"/>
          <w:sz w:val="31"/>
          <w:szCs w:val="31"/>
          <w:lang w:bidi="ar"/>
        </w:rPr>
      </w:pPr>
      <w:r>
        <w:rPr>
          <w:color w:val="000000"/>
          <w:kern w:val="0"/>
          <w:sz w:val="31"/>
          <w:szCs w:val="31"/>
          <w:lang w:bidi="ar"/>
        </w:rPr>
        <w:t>（三）进一步优化部门整体支出绩效评价指标，力求科学，实用。</w:t>
      </w:r>
    </w:p>
    <w:p>
      <w:pPr>
        <w:pStyle w:val="3"/>
        <w:rPr>
          <w:rFonts w:eastAsia="方正小标宋简体"/>
          <w:color w:val="000000"/>
          <w:sz w:val="36"/>
          <w:szCs w:val="36"/>
        </w:rPr>
      </w:pPr>
    </w:p>
    <w:p>
      <w:pPr>
        <w:jc w:val="center"/>
        <w:rPr>
          <w:rFonts w:eastAsia="方正小标宋简体"/>
          <w:color w:val="000000"/>
          <w:sz w:val="36"/>
          <w:szCs w:val="36"/>
        </w:rPr>
      </w:pPr>
      <w:r>
        <w:rPr>
          <w:rFonts w:eastAsia="方正小标宋简体"/>
          <w:color w:val="000000"/>
          <w:sz w:val="36"/>
          <w:szCs w:val="36"/>
        </w:rPr>
        <w:t>202</w:t>
      </w:r>
      <w:r>
        <w:rPr>
          <w:rFonts w:hint="eastAsia" w:eastAsia="方正小标宋简体"/>
          <w:color w:val="000000"/>
          <w:sz w:val="36"/>
          <w:szCs w:val="36"/>
          <w:lang w:val="en-US" w:eastAsia="zh-CN"/>
        </w:rPr>
        <w:t>4</w:t>
      </w:r>
      <w:r>
        <w:rPr>
          <w:rFonts w:hint="eastAsia" w:eastAsia="宋体"/>
          <w:color w:val="000000"/>
          <w:sz w:val="36"/>
          <w:szCs w:val="36"/>
          <w:lang w:val="en-US" w:eastAsia="zh-CN"/>
        </w:rPr>
        <w:t>年度九宫山</w:t>
      </w:r>
      <w:r>
        <w:rPr>
          <w:rFonts w:eastAsia="方正小标宋简体"/>
          <w:color w:val="000000"/>
          <w:sz w:val="36"/>
          <w:szCs w:val="36"/>
        </w:rPr>
        <w:t>镇财政所</w:t>
      </w:r>
      <w:r>
        <w:rPr>
          <w:rFonts w:eastAsia="方正大标宋简体"/>
          <w:color w:val="000000"/>
          <w:sz w:val="44"/>
          <w:szCs w:val="44"/>
        </w:rPr>
        <w:t>项目</w:t>
      </w:r>
      <w:r>
        <w:rPr>
          <w:rFonts w:eastAsia="方正小标宋简体"/>
          <w:color w:val="000000"/>
          <w:sz w:val="36"/>
          <w:szCs w:val="36"/>
        </w:rPr>
        <w:t>绩效自评表</w:t>
      </w:r>
    </w:p>
    <w:tbl>
      <w:tblPr>
        <w:tblStyle w:val="8"/>
        <w:tblW w:w="10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64"/>
        <w:gridCol w:w="1134"/>
        <w:gridCol w:w="1134"/>
        <w:gridCol w:w="2213"/>
        <w:gridCol w:w="593"/>
        <w:gridCol w:w="6"/>
        <w:gridCol w:w="1529"/>
        <w:gridCol w:w="22"/>
        <w:gridCol w:w="1240"/>
        <w:gridCol w:w="6"/>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gridSpan w:val="2"/>
            <w:noWrap w:val="0"/>
            <w:vAlign w:val="center"/>
          </w:tcPr>
          <w:p>
            <w:pPr>
              <w:widowControl/>
              <w:spacing w:line="260" w:lineRule="exact"/>
              <w:ind w:firstLine="210" w:firstLineChars="100"/>
              <w:jc w:val="left"/>
              <w:rPr>
                <w:color w:val="000000"/>
                <w:kern w:val="0"/>
                <w:sz w:val="21"/>
                <w:szCs w:val="21"/>
              </w:rPr>
            </w:pPr>
            <w:r>
              <w:rPr>
                <w:color w:val="000000"/>
                <w:kern w:val="0"/>
                <w:sz w:val="21"/>
                <w:szCs w:val="21"/>
              </w:rPr>
              <w:t>单位名称</w:t>
            </w:r>
          </w:p>
        </w:tc>
        <w:tc>
          <w:tcPr>
            <w:tcW w:w="8656" w:type="dxa"/>
            <w:gridSpan w:val="10"/>
            <w:noWrap w:val="0"/>
            <w:vAlign w:val="center"/>
          </w:tcPr>
          <w:p>
            <w:pPr>
              <w:widowControl/>
              <w:spacing w:line="260" w:lineRule="exact"/>
              <w:jc w:val="left"/>
              <w:rPr>
                <w:color w:val="000000"/>
                <w:kern w:val="0"/>
                <w:sz w:val="21"/>
                <w:szCs w:val="21"/>
              </w:rPr>
            </w:pPr>
            <w:r>
              <w:rPr>
                <w:color w:val="000000"/>
                <w:kern w:val="0"/>
                <w:sz w:val="21"/>
                <w:szCs w:val="21"/>
              </w:rPr>
              <w:t>通山县</w:t>
            </w:r>
            <w:r>
              <w:rPr>
                <w:rFonts w:hint="eastAsia"/>
                <w:color w:val="000000"/>
                <w:kern w:val="0"/>
                <w:sz w:val="21"/>
                <w:szCs w:val="21"/>
                <w:lang w:val="en-US" w:eastAsia="zh-CN"/>
              </w:rPr>
              <w:t>九宫山</w:t>
            </w:r>
            <w:r>
              <w:rPr>
                <w:color w:val="000000"/>
                <w:kern w:val="0"/>
                <w:sz w:val="21"/>
                <w:szCs w:val="21"/>
              </w:rPr>
              <w:t>镇财政所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gridSpan w:val="2"/>
            <w:noWrap w:val="0"/>
            <w:vAlign w:val="center"/>
          </w:tcPr>
          <w:p>
            <w:pPr>
              <w:widowControl/>
              <w:spacing w:line="260" w:lineRule="exact"/>
              <w:ind w:firstLine="210" w:firstLineChars="100"/>
              <w:jc w:val="left"/>
              <w:rPr>
                <w:color w:val="000000"/>
                <w:kern w:val="0"/>
                <w:sz w:val="21"/>
                <w:szCs w:val="21"/>
              </w:rPr>
            </w:pPr>
            <w:r>
              <w:rPr>
                <w:color w:val="000000"/>
                <w:kern w:val="0"/>
                <w:sz w:val="21"/>
                <w:szCs w:val="21"/>
              </w:rPr>
              <w:t>项目名称</w:t>
            </w:r>
          </w:p>
        </w:tc>
        <w:tc>
          <w:tcPr>
            <w:tcW w:w="8656" w:type="dxa"/>
            <w:gridSpan w:val="10"/>
            <w:noWrap w:val="0"/>
            <w:vAlign w:val="center"/>
          </w:tcPr>
          <w:p>
            <w:pPr>
              <w:widowControl/>
              <w:spacing w:line="260" w:lineRule="exact"/>
              <w:jc w:val="left"/>
              <w:rPr>
                <w:color w:val="000000"/>
                <w:kern w:val="0"/>
                <w:sz w:val="21"/>
                <w:szCs w:val="21"/>
              </w:rPr>
            </w:pPr>
            <w:r>
              <w:rPr>
                <w:color w:val="000000"/>
                <w:kern w:val="0"/>
                <w:sz w:val="21"/>
                <w:szCs w:val="21"/>
              </w:rPr>
              <w:t>村级公益事业建设。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gridSpan w:val="2"/>
            <w:vMerge w:val="restart"/>
            <w:noWrap w:val="0"/>
            <w:vAlign w:val="center"/>
          </w:tcPr>
          <w:p>
            <w:pPr>
              <w:widowControl/>
              <w:spacing w:line="260" w:lineRule="exact"/>
              <w:jc w:val="center"/>
              <w:rPr>
                <w:color w:val="000000"/>
                <w:kern w:val="0"/>
                <w:sz w:val="21"/>
                <w:szCs w:val="21"/>
              </w:rPr>
            </w:pPr>
            <w:r>
              <w:rPr>
                <w:color w:val="000000"/>
                <w:kern w:val="0"/>
                <w:sz w:val="21"/>
                <w:szCs w:val="21"/>
              </w:rPr>
              <w:t>预算执行情况</w:t>
            </w:r>
          </w:p>
          <w:p>
            <w:pPr>
              <w:widowControl/>
              <w:spacing w:line="260" w:lineRule="exact"/>
              <w:jc w:val="center"/>
              <w:rPr>
                <w:color w:val="000000"/>
                <w:kern w:val="0"/>
                <w:sz w:val="21"/>
                <w:szCs w:val="21"/>
              </w:rPr>
            </w:pPr>
            <w:r>
              <w:rPr>
                <w:color w:val="000000"/>
                <w:kern w:val="0"/>
                <w:sz w:val="21"/>
                <w:szCs w:val="21"/>
              </w:rPr>
              <w:t>（万元）</w:t>
            </w:r>
          </w:p>
          <w:p>
            <w:pPr>
              <w:widowControl/>
              <w:spacing w:line="260" w:lineRule="exact"/>
              <w:jc w:val="center"/>
              <w:rPr>
                <w:color w:val="000000"/>
                <w:kern w:val="0"/>
                <w:sz w:val="21"/>
                <w:szCs w:val="21"/>
              </w:rPr>
            </w:pPr>
            <w:r>
              <w:rPr>
                <w:color w:val="000000"/>
                <w:kern w:val="0"/>
                <w:sz w:val="21"/>
                <w:szCs w:val="21"/>
              </w:rPr>
              <w:t>20分</w:t>
            </w:r>
          </w:p>
        </w:tc>
        <w:tc>
          <w:tcPr>
            <w:tcW w:w="1134" w:type="dxa"/>
            <w:noWrap w:val="0"/>
            <w:vAlign w:val="center"/>
          </w:tcPr>
          <w:p>
            <w:pPr>
              <w:widowControl/>
              <w:spacing w:line="260" w:lineRule="exact"/>
              <w:jc w:val="center"/>
              <w:rPr>
                <w:color w:val="000000"/>
                <w:kern w:val="0"/>
                <w:sz w:val="21"/>
                <w:szCs w:val="21"/>
              </w:rPr>
            </w:pPr>
            <w:r>
              <w:rPr>
                <w:color w:val="000000"/>
                <w:kern w:val="0"/>
                <w:sz w:val="21"/>
                <w:szCs w:val="21"/>
              </w:rPr>
              <w:t>项目</w:t>
            </w:r>
          </w:p>
        </w:tc>
        <w:tc>
          <w:tcPr>
            <w:tcW w:w="1134" w:type="dxa"/>
            <w:noWrap w:val="0"/>
            <w:vAlign w:val="center"/>
          </w:tcPr>
          <w:p>
            <w:pPr>
              <w:widowControl/>
              <w:spacing w:line="260" w:lineRule="exact"/>
              <w:jc w:val="center"/>
              <w:rPr>
                <w:color w:val="000000"/>
                <w:kern w:val="0"/>
                <w:sz w:val="21"/>
                <w:szCs w:val="21"/>
              </w:rPr>
            </w:pPr>
            <w:r>
              <w:rPr>
                <w:color w:val="000000"/>
                <w:kern w:val="0"/>
                <w:sz w:val="21"/>
                <w:szCs w:val="21"/>
              </w:rPr>
              <w:t>预算数（A）</w:t>
            </w:r>
          </w:p>
        </w:tc>
        <w:tc>
          <w:tcPr>
            <w:tcW w:w="2213" w:type="dxa"/>
            <w:noWrap w:val="0"/>
            <w:vAlign w:val="center"/>
          </w:tcPr>
          <w:p>
            <w:pPr>
              <w:widowControl/>
              <w:spacing w:line="260" w:lineRule="exact"/>
              <w:jc w:val="center"/>
              <w:rPr>
                <w:color w:val="000000"/>
                <w:kern w:val="0"/>
                <w:sz w:val="21"/>
                <w:szCs w:val="21"/>
              </w:rPr>
            </w:pPr>
            <w:r>
              <w:rPr>
                <w:color w:val="000000"/>
                <w:kern w:val="0"/>
                <w:sz w:val="21"/>
                <w:szCs w:val="21"/>
              </w:rPr>
              <w:t>执行数（B）</w:t>
            </w:r>
          </w:p>
        </w:tc>
        <w:tc>
          <w:tcPr>
            <w:tcW w:w="2150" w:type="dxa"/>
            <w:gridSpan w:val="4"/>
            <w:noWrap w:val="0"/>
            <w:vAlign w:val="center"/>
          </w:tcPr>
          <w:p>
            <w:pPr>
              <w:widowControl/>
              <w:spacing w:line="260" w:lineRule="exact"/>
              <w:jc w:val="center"/>
              <w:rPr>
                <w:color w:val="000000"/>
                <w:kern w:val="0"/>
                <w:sz w:val="21"/>
                <w:szCs w:val="21"/>
              </w:rPr>
            </w:pPr>
            <w:r>
              <w:rPr>
                <w:color w:val="000000"/>
                <w:kern w:val="0"/>
                <w:sz w:val="21"/>
                <w:szCs w:val="21"/>
              </w:rPr>
              <w:t>执行率（B/A）</w:t>
            </w:r>
          </w:p>
        </w:tc>
        <w:tc>
          <w:tcPr>
            <w:tcW w:w="2025" w:type="dxa"/>
            <w:gridSpan w:val="3"/>
            <w:noWrap w:val="0"/>
            <w:vAlign w:val="center"/>
          </w:tcPr>
          <w:p>
            <w:pPr>
              <w:widowControl/>
              <w:spacing w:line="260" w:lineRule="exact"/>
              <w:jc w:val="center"/>
              <w:rPr>
                <w:color w:val="000000"/>
                <w:kern w:val="0"/>
                <w:sz w:val="21"/>
                <w:szCs w:val="21"/>
              </w:rPr>
            </w:pPr>
            <w:r>
              <w:rPr>
                <w:color w:val="000000"/>
                <w:kern w:val="0"/>
                <w:sz w:val="21"/>
                <w:szCs w:val="21"/>
              </w:rPr>
              <w:t>得分</w:t>
            </w:r>
          </w:p>
          <w:p>
            <w:pPr>
              <w:widowControl/>
              <w:spacing w:line="260" w:lineRule="exact"/>
              <w:jc w:val="center"/>
              <w:rPr>
                <w:color w:val="000000"/>
                <w:kern w:val="0"/>
                <w:sz w:val="21"/>
                <w:szCs w:val="21"/>
              </w:rPr>
            </w:pPr>
            <w:r>
              <w:rPr>
                <w:color w:val="000000"/>
                <w:kern w:val="0"/>
                <w:sz w:val="21"/>
                <w:szCs w:val="21"/>
              </w:rPr>
              <w:t>（20分*执行率）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gridSpan w:val="2"/>
            <w:vMerge w:val="continue"/>
            <w:noWrap w:val="0"/>
            <w:vAlign w:val="center"/>
          </w:tcPr>
          <w:p>
            <w:pPr>
              <w:widowControl/>
              <w:spacing w:line="260" w:lineRule="exact"/>
              <w:jc w:val="center"/>
              <w:rPr>
                <w:color w:val="000000"/>
                <w:kern w:val="0"/>
                <w:sz w:val="21"/>
                <w:szCs w:val="21"/>
              </w:rPr>
            </w:pPr>
          </w:p>
        </w:tc>
        <w:tc>
          <w:tcPr>
            <w:tcW w:w="1134" w:type="dxa"/>
            <w:noWrap w:val="0"/>
            <w:vAlign w:val="center"/>
          </w:tcPr>
          <w:p>
            <w:pPr>
              <w:widowControl/>
              <w:spacing w:line="260" w:lineRule="exact"/>
              <w:jc w:val="center"/>
              <w:rPr>
                <w:color w:val="000000"/>
                <w:kern w:val="0"/>
                <w:sz w:val="21"/>
                <w:szCs w:val="21"/>
              </w:rPr>
            </w:pPr>
            <w:r>
              <w:rPr>
                <w:color w:val="000000"/>
                <w:kern w:val="0"/>
                <w:sz w:val="21"/>
                <w:szCs w:val="21"/>
              </w:rPr>
              <w:t>合计</w:t>
            </w:r>
          </w:p>
        </w:tc>
        <w:tc>
          <w:tcPr>
            <w:tcW w:w="1134" w:type="dxa"/>
            <w:noWrap w:val="0"/>
            <w:vAlign w:val="center"/>
          </w:tcPr>
          <w:p>
            <w:pPr>
              <w:widowControl/>
              <w:spacing w:line="260" w:lineRule="exact"/>
              <w:jc w:val="center"/>
              <w:rPr>
                <w:rFonts w:hint="default" w:eastAsia="仿宋_GB2312"/>
                <w:color w:val="000000"/>
                <w:kern w:val="0"/>
                <w:sz w:val="21"/>
                <w:szCs w:val="21"/>
                <w:lang w:val="en-US" w:eastAsia="zh-CN"/>
              </w:rPr>
            </w:pPr>
            <w:r>
              <w:rPr>
                <w:rFonts w:hint="eastAsia"/>
                <w:color w:val="000000"/>
                <w:kern w:val="0"/>
                <w:sz w:val="21"/>
                <w:szCs w:val="21"/>
                <w:lang w:val="en-US" w:eastAsia="zh-CN"/>
              </w:rPr>
              <w:t>25</w:t>
            </w:r>
          </w:p>
        </w:tc>
        <w:tc>
          <w:tcPr>
            <w:tcW w:w="2213" w:type="dxa"/>
            <w:noWrap w:val="0"/>
            <w:vAlign w:val="center"/>
          </w:tcPr>
          <w:p>
            <w:pPr>
              <w:widowControl/>
              <w:spacing w:line="260" w:lineRule="exact"/>
              <w:jc w:val="center"/>
              <w:rPr>
                <w:rFonts w:hint="default" w:eastAsia="仿宋_GB2312"/>
                <w:color w:val="000000"/>
                <w:kern w:val="0"/>
                <w:sz w:val="21"/>
                <w:szCs w:val="21"/>
                <w:lang w:val="en-US" w:eastAsia="zh-CN"/>
              </w:rPr>
            </w:pPr>
            <w:r>
              <w:rPr>
                <w:rFonts w:hint="eastAsia"/>
                <w:color w:val="000000"/>
                <w:kern w:val="0"/>
                <w:sz w:val="21"/>
                <w:szCs w:val="21"/>
                <w:lang w:val="en-US" w:eastAsia="zh-CN"/>
              </w:rPr>
              <w:t>25</w:t>
            </w:r>
          </w:p>
        </w:tc>
        <w:tc>
          <w:tcPr>
            <w:tcW w:w="2150" w:type="dxa"/>
            <w:gridSpan w:val="4"/>
            <w:noWrap w:val="0"/>
            <w:vAlign w:val="center"/>
          </w:tcPr>
          <w:p>
            <w:pPr>
              <w:widowControl/>
              <w:spacing w:line="260" w:lineRule="exact"/>
              <w:jc w:val="center"/>
              <w:rPr>
                <w:color w:val="000000"/>
                <w:kern w:val="0"/>
                <w:sz w:val="21"/>
                <w:szCs w:val="21"/>
              </w:rPr>
            </w:pPr>
            <w:r>
              <w:rPr>
                <w:color w:val="000000"/>
                <w:kern w:val="0"/>
                <w:sz w:val="21"/>
                <w:szCs w:val="21"/>
              </w:rPr>
              <w:t>100</w:t>
            </w:r>
          </w:p>
        </w:tc>
        <w:tc>
          <w:tcPr>
            <w:tcW w:w="2025" w:type="dxa"/>
            <w:gridSpan w:val="3"/>
            <w:noWrap w:val="0"/>
            <w:vAlign w:val="center"/>
          </w:tcPr>
          <w:p>
            <w:pPr>
              <w:widowControl/>
              <w:spacing w:line="260" w:lineRule="exact"/>
              <w:jc w:val="center"/>
              <w:rPr>
                <w:color w:val="000000"/>
                <w:kern w:val="0"/>
                <w:sz w:val="21"/>
                <w:szCs w:val="21"/>
              </w:rPr>
            </w:pPr>
            <w:r>
              <w:rPr>
                <w:color w:val="000000"/>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gridSpan w:val="2"/>
            <w:noWrap w:val="0"/>
            <w:vAlign w:val="center"/>
          </w:tcPr>
          <w:p>
            <w:pPr>
              <w:widowControl/>
              <w:spacing w:line="260" w:lineRule="exact"/>
              <w:jc w:val="center"/>
              <w:rPr>
                <w:color w:val="000000"/>
                <w:kern w:val="0"/>
                <w:sz w:val="21"/>
                <w:szCs w:val="21"/>
              </w:rPr>
            </w:pPr>
            <w:r>
              <w:rPr>
                <w:color w:val="000000"/>
                <w:kern w:val="0"/>
                <w:sz w:val="21"/>
                <w:szCs w:val="21"/>
              </w:rPr>
              <w:t>年度绩效目标</w:t>
            </w:r>
          </w:p>
        </w:tc>
        <w:tc>
          <w:tcPr>
            <w:tcW w:w="8656" w:type="dxa"/>
            <w:gridSpan w:val="10"/>
            <w:noWrap w:val="0"/>
            <w:vAlign w:val="center"/>
          </w:tcPr>
          <w:p>
            <w:pPr>
              <w:widowControl/>
              <w:spacing w:line="260" w:lineRule="exact"/>
              <w:jc w:val="left"/>
              <w:rPr>
                <w:color w:val="000000"/>
                <w:kern w:val="0"/>
                <w:sz w:val="21"/>
                <w:szCs w:val="21"/>
              </w:rPr>
            </w:pPr>
            <w:r>
              <w:rPr>
                <w:color w:val="000000"/>
                <w:kern w:val="0"/>
                <w:sz w:val="21"/>
                <w:szCs w:val="21"/>
              </w:rPr>
              <w:t>项目支出：村级公益事业建设。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vMerge w:val="restart"/>
            <w:noWrap w:val="0"/>
            <w:vAlign w:val="center"/>
          </w:tcPr>
          <w:p>
            <w:pPr>
              <w:widowControl/>
              <w:spacing w:line="260" w:lineRule="exact"/>
              <w:jc w:val="center"/>
              <w:rPr>
                <w:color w:val="000000"/>
                <w:kern w:val="0"/>
                <w:sz w:val="21"/>
                <w:szCs w:val="21"/>
              </w:rPr>
            </w:pPr>
            <w:r>
              <w:rPr>
                <w:color w:val="000000"/>
                <w:kern w:val="0"/>
                <w:sz w:val="21"/>
                <w:szCs w:val="21"/>
              </w:rPr>
              <w:t>年度绩效指标</w:t>
            </w:r>
          </w:p>
        </w:tc>
        <w:tc>
          <w:tcPr>
            <w:tcW w:w="1164" w:type="dxa"/>
            <w:noWrap w:val="0"/>
            <w:vAlign w:val="center"/>
          </w:tcPr>
          <w:p>
            <w:pPr>
              <w:widowControl/>
              <w:spacing w:line="260" w:lineRule="exact"/>
              <w:jc w:val="center"/>
              <w:rPr>
                <w:color w:val="000000"/>
                <w:kern w:val="0"/>
                <w:sz w:val="21"/>
                <w:szCs w:val="21"/>
              </w:rPr>
            </w:pPr>
            <w:r>
              <w:rPr>
                <w:color w:val="000000"/>
                <w:kern w:val="0"/>
                <w:sz w:val="21"/>
                <w:szCs w:val="21"/>
              </w:rPr>
              <w:t>一级指标</w:t>
            </w:r>
          </w:p>
        </w:tc>
        <w:tc>
          <w:tcPr>
            <w:tcW w:w="1134" w:type="dxa"/>
            <w:noWrap w:val="0"/>
            <w:vAlign w:val="center"/>
          </w:tcPr>
          <w:p>
            <w:pPr>
              <w:widowControl/>
              <w:spacing w:line="260" w:lineRule="exact"/>
              <w:jc w:val="center"/>
              <w:rPr>
                <w:color w:val="000000"/>
                <w:kern w:val="0"/>
                <w:sz w:val="21"/>
                <w:szCs w:val="21"/>
              </w:rPr>
            </w:pPr>
            <w:r>
              <w:rPr>
                <w:color w:val="000000"/>
                <w:kern w:val="0"/>
                <w:sz w:val="21"/>
                <w:szCs w:val="21"/>
              </w:rPr>
              <w:t>二级指标</w:t>
            </w:r>
          </w:p>
        </w:tc>
        <w:tc>
          <w:tcPr>
            <w:tcW w:w="3946" w:type="dxa"/>
            <w:gridSpan w:val="4"/>
            <w:noWrap w:val="0"/>
            <w:vAlign w:val="center"/>
          </w:tcPr>
          <w:p>
            <w:pPr>
              <w:widowControl/>
              <w:spacing w:line="260" w:lineRule="exact"/>
              <w:jc w:val="center"/>
              <w:rPr>
                <w:color w:val="000000"/>
                <w:kern w:val="0"/>
                <w:sz w:val="21"/>
                <w:szCs w:val="21"/>
              </w:rPr>
            </w:pPr>
            <w:r>
              <w:rPr>
                <w:color w:val="000000"/>
                <w:kern w:val="0"/>
                <w:sz w:val="21"/>
                <w:szCs w:val="21"/>
              </w:rPr>
              <w:t>三级指标</w:t>
            </w:r>
          </w:p>
        </w:tc>
        <w:tc>
          <w:tcPr>
            <w:tcW w:w="1529" w:type="dxa"/>
            <w:noWrap w:val="0"/>
            <w:vAlign w:val="center"/>
          </w:tcPr>
          <w:p>
            <w:pPr>
              <w:widowControl/>
              <w:spacing w:line="260" w:lineRule="exact"/>
              <w:jc w:val="center"/>
              <w:rPr>
                <w:color w:val="000000"/>
                <w:kern w:val="0"/>
                <w:sz w:val="21"/>
                <w:szCs w:val="21"/>
              </w:rPr>
            </w:pPr>
            <w:r>
              <w:rPr>
                <w:color w:val="000000"/>
                <w:kern w:val="0"/>
                <w:sz w:val="21"/>
                <w:szCs w:val="21"/>
              </w:rPr>
              <w:t>年初目标值（A）</w:t>
            </w:r>
          </w:p>
        </w:tc>
        <w:tc>
          <w:tcPr>
            <w:tcW w:w="1268" w:type="dxa"/>
            <w:gridSpan w:val="3"/>
            <w:noWrap w:val="0"/>
            <w:vAlign w:val="center"/>
          </w:tcPr>
          <w:p>
            <w:pPr>
              <w:widowControl/>
              <w:spacing w:line="260" w:lineRule="exact"/>
              <w:jc w:val="center"/>
              <w:rPr>
                <w:color w:val="000000"/>
                <w:kern w:val="0"/>
                <w:sz w:val="21"/>
                <w:szCs w:val="21"/>
              </w:rPr>
            </w:pPr>
            <w:r>
              <w:rPr>
                <w:color w:val="000000"/>
                <w:kern w:val="0"/>
                <w:sz w:val="21"/>
                <w:szCs w:val="21"/>
              </w:rPr>
              <w:t>实际完成值（B）</w:t>
            </w:r>
          </w:p>
        </w:tc>
        <w:tc>
          <w:tcPr>
            <w:tcW w:w="779" w:type="dxa"/>
            <w:noWrap w:val="0"/>
            <w:vAlign w:val="center"/>
          </w:tcPr>
          <w:p>
            <w:pPr>
              <w:widowControl/>
              <w:spacing w:line="260" w:lineRule="exact"/>
              <w:jc w:val="center"/>
              <w:rPr>
                <w:color w:val="000000"/>
                <w:kern w:val="0"/>
                <w:sz w:val="21"/>
                <w:szCs w:val="21"/>
              </w:rPr>
            </w:pPr>
            <w:r>
              <w:rPr>
                <w:color w:val="000000"/>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66" w:type="dxa"/>
            <w:vMerge w:val="continue"/>
            <w:noWrap w:val="0"/>
            <w:vAlign w:val="center"/>
          </w:tcPr>
          <w:p>
            <w:pPr>
              <w:widowControl/>
              <w:spacing w:line="260" w:lineRule="exact"/>
              <w:jc w:val="center"/>
              <w:rPr>
                <w:color w:val="000000"/>
                <w:kern w:val="0"/>
                <w:sz w:val="21"/>
                <w:szCs w:val="21"/>
              </w:rPr>
            </w:pPr>
          </w:p>
        </w:tc>
        <w:tc>
          <w:tcPr>
            <w:tcW w:w="1164" w:type="dxa"/>
            <w:vMerge w:val="restart"/>
            <w:noWrap w:val="0"/>
            <w:vAlign w:val="center"/>
          </w:tcPr>
          <w:p>
            <w:pPr>
              <w:widowControl/>
              <w:spacing w:line="260" w:lineRule="exact"/>
              <w:jc w:val="center"/>
              <w:rPr>
                <w:color w:val="000000"/>
                <w:kern w:val="0"/>
                <w:sz w:val="21"/>
                <w:szCs w:val="21"/>
              </w:rPr>
            </w:pPr>
            <w:r>
              <w:rPr>
                <w:color w:val="000000"/>
                <w:kern w:val="0"/>
                <w:sz w:val="21"/>
                <w:szCs w:val="21"/>
              </w:rPr>
              <w:t>产出指标40分</w:t>
            </w:r>
          </w:p>
        </w:tc>
        <w:tc>
          <w:tcPr>
            <w:tcW w:w="1134" w:type="dxa"/>
            <w:noWrap w:val="0"/>
            <w:vAlign w:val="center"/>
          </w:tcPr>
          <w:p>
            <w:pPr>
              <w:widowControl/>
              <w:spacing w:line="260" w:lineRule="exact"/>
              <w:jc w:val="center"/>
              <w:rPr>
                <w:color w:val="000000"/>
                <w:kern w:val="0"/>
                <w:sz w:val="21"/>
                <w:szCs w:val="21"/>
              </w:rPr>
            </w:pPr>
            <w:r>
              <w:rPr>
                <w:color w:val="000000"/>
                <w:kern w:val="0"/>
                <w:sz w:val="21"/>
                <w:szCs w:val="21"/>
              </w:rPr>
              <w:t>数量指标</w:t>
            </w:r>
          </w:p>
        </w:tc>
        <w:tc>
          <w:tcPr>
            <w:tcW w:w="3946" w:type="dxa"/>
            <w:gridSpan w:val="4"/>
            <w:noWrap w:val="0"/>
            <w:vAlign w:val="center"/>
          </w:tcPr>
          <w:p>
            <w:pPr>
              <w:widowControl/>
              <w:spacing w:line="260" w:lineRule="exact"/>
              <w:jc w:val="center"/>
              <w:rPr>
                <w:color w:val="000000"/>
                <w:kern w:val="0"/>
                <w:sz w:val="21"/>
                <w:szCs w:val="21"/>
              </w:rPr>
            </w:pPr>
            <w:r>
              <w:rPr>
                <w:color w:val="000000"/>
                <w:kern w:val="0"/>
                <w:sz w:val="21"/>
                <w:szCs w:val="21"/>
              </w:rPr>
              <w:t>村级公益事业建设项目涉及村数</w:t>
            </w:r>
          </w:p>
        </w:tc>
        <w:tc>
          <w:tcPr>
            <w:tcW w:w="1529" w:type="dxa"/>
            <w:noWrap w:val="0"/>
            <w:vAlign w:val="center"/>
          </w:tcPr>
          <w:p>
            <w:pPr>
              <w:widowControl/>
              <w:spacing w:line="260" w:lineRule="exact"/>
              <w:jc w:val="center"/>
              <w:rPr>
                <w:color w:val="000000"/>
                <w:kern w:val="0"/>
                <w:sz w:val="21"/>
                <w:szCs w:val="21"/>
              </w:rPr>
            </w:pPr>
            <w:r>
              <w:rPr>
                <w:rFonts w:eastAsia="宋体"/>
                <w:color w:val="000000"/>
                <w:kern w:val="0"/>
                <w:sz w:val="21"/>
                <w:szCs w:val="21"/>
              </w:rPr>
              <w:t>≧</w:t>
            </w:r>
            <w:r>
              <w:rPr>
                <w:color w:val="000000"/>
                <w:kern w:val="0"/>
                <w:sz w:val="21"/>
                <w:szCs w:val="21"/>
              </w:rPr>
              <w:t>3</w:t>
            </w:r>
          </w:p>
        </w:tc>
        <w:tc>
          <w:tcPr>
            <w:tcW w:w="1268" w:type="dxa"/>
            <w:gridSpan w:val="3"/>
            <w:noWrap w:val="0"/>
            <w:vAlign w:val="center"/>
          </w:tcPr>
          <w:p>
            <w:pPr>
              <w:widowControl/>
              <w:spacing w:line="260" w:lineRule="exact"/>
              <w:jc w:val="center"/>
              <w:rPr>
                <w:color w:val="000000"/>
                <w:kern w:val="0"/>
                <w:sz w:val="21"/>
                <w:szCs w:val="21"/>
              </w:rPr>
            </w:pPr>
            <w:r>
              <w:rPr>
                <w:color w:val="000000"/>
                <w:kern w:val="0"/>
                <w:sz w:val="20"/>
                <w:szCs w:val="20"/>
                <w:lang w:bidi="ar"/>
              </w:rPr>
              <w:t>3</w:t>
            </w:r>
          </w:p>
        </w:tc>
        <w:tc>
          <w:tcPr>
            <w:tcW w:w="779" w:type="dxa"/>
            <w:vMerge w:val="restart"/>
            <w:noWrap w:val="0"/>
            <w:vAlign w:val="center"/>
          </w:tcPr>
          <w:p>
            <w:pPr>
              <w:widowControl/>
              <w:spacing w:line="260" w:lineRule="exact"/>
              <w:jc w:val="center"/>
              <w:rPr>
                <w:color w:val="000000"/>
                <w:kern w:val="0"/>
                <w:sz w:val="21"/>
                <w:szCs w:val="21"/>
              </w:rPr>
            </w:pPr>
            <w:r>
              <w:rPr>
                <w:color w:val="000000"/>
                <w:kern w:val="0"/>
                <w:sz w:val="21"/>
                <w:szCs w:val="21"/>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vMerge w:val="continue"/>
            <w:noWrap w:val="0"/>
            <w:vAlign w:val="center"/>
          </w:tcPr>
          <w:p>
            <w:pPr>
              <w:widowControl/>
              <w:spacing w:line="260" w:lineRule="exact"/>
              <w:jc w:val="center"/>
              <w:rPr>
                <w:color w:val="000000"/>
                <w:kern w:val="0"/>
                <w:sz w:val="21"/>
                <w:szCs w:val="21"/>
              </w:rPr>
            </w:pPr>
          </w:p>
        </w:tc>
        <w:tc>
          <w:tcPr>
            <w:tcW w:w="1164" w:type="dxa"/>
            <w:vMerge w:val="continue"/>
            <w:noWrap w:val="0"/>
            <w:vAlign w:val="center"/>
          </w:tcPr>
          <w:p>
            <w:pPr>
              <w:widowControl/>
              <w:spacing w:line="260" w:lineRule="exact"/>
              <w:jc w:val="center"/>
              <w:rPr>
                <w:color w:val="000000"/>
                <w:kern w:val="0"/>
                <w:sz w:val="21"/>
                <w:szCs w:val="21"/>
              </w:rPr>
            </w:pPr>
          </w:p>
        </w:tc>
        <w:tc>
          <w:tcPr>
            <w:tcW w:w="1134" w:type="dxa"/>
            <w:noWrap w:val="0"/>
            <w:vAlign w:val="center"/>
          </w:tcPr>
          <w:p>
            <w:pPr>
              <w:widowControl/>
              <w:spacing w:line="260" w:lineRule="exact"/>
              <w:jc w:val="center"/>
              <w:rPr>
                <w:color w:val="000000"/>
                <w:kern w:val="0"/>
                <w:sz w:val="21"/>
                <w:szCs w:val="21"/>
              </w:rPr>
            </w:pPr>
            <w:r>
              <w:rPr>
                <w:color w:val="000000"/>
                <w:kern w:val="0"/>
                <w:sz w:val="21"/>
                <w:szCs w:val="21"/>
              </w:rPr>
              <w:t>质量指标</w:t>
            </w:r>
          </w:p>
        </w:tc>
        <w:tc>
          <w:tcPr>
            <w:tcW w:w="3946" w:type="dxa"/>
            <w:gridSpan w:val="4"/>
            <w:noWrap w:val="0"/>
            <w:vAlign w:val="center"/>
          </w:tcPr>
          <w:p>
            <w:pPr>
              <w:widowControl/>
              <w:spacing w:line="260" w:lineRule="exact"/>
              <w:jc w:val="center"/>
              <w:rPr>
                <w:color w:val="000000"/>
                <w:kern w:val="0"/>
                <w:sz w:val="21"/>
                <w:szCs w:val="21"/>
              </w:rPr>
            </w:pPr>
            <w:r>
              <w:rPr>
                <w:color w:val="000000"/>
                <w:kern w:val="0"/>
                <w:sz w:val="21"/>
                <w:szCs w:val="21"/>
              </w:rPr>
              <w:t>村级公益事业建设项目质量</w:t>
            </w:r>
          </w:p>
        </w:tc>
        <w:tc>
          <w:tcPr>
            <w:tcW w:w="1529" w:type="dxa"/>
            <w:noWrap w:val="0"/>
            <w:vAlign w:val="center"/>
          </w:tcPr>
          <w:p>
            <w:pPr>
              <w:widowControl/>
              <w:spacing w:line="260" w:lineRule="exact"/>
              <w:jc w:val="center"/>
              <w:rPr>
                <w:color w:val="000000"/>
                <w:kern w:val="0"/>
                <w:sz w:val="21"/>
                <w:szCs w:val="21"/>
              </w:rPr>
            </w:pPr>
            <w:r>
              <w:rPr>
                <w:color w:val="000000"/>
                <w:kern w:val="0"/>
                <w:sz w:val="21"/>
                <w:szCs w:val="21"/>
              </w:rPr>
              <w:t>≧95%</w:t>
            </w:r>
          </w:p>
        </w:tc>
        <w:tc>
          <w:tcPr>
            <w:tcW w:w="1268" w:type="dxa"/>
            <w:gridSpan w:val="3"/>
            <w:noWrap w:val="0"/>
            <w:vAlign w:val="center"/>
          </w:tcPr>
          <w:p>
            <w:pPr>
              <w:widowControl/>
              <w:spacing w:line="260" w:lineRule="exact"/>
              <w:jc w:val="center"/>
              <w:rPr>
                <w:color w:val="000000"/>
                <w:kern w:val="0"/>
                <w:sz w:val="21"/>
                <w:szCs w:val="21"/>
              </w:rPr>
            </w:pPr>
            <w:r>
              <w:rPr>
                <w:color w:val="000000"/>
                <w:kern w:val="0"/>
                <w:sz w:val="21"/>
                <w:szCs w:val="21"/>
              </w:rPr>
              <w:t>100%</w:t>
            </w:r>
          </w:p>
        </w:tc>
        <w:tc>
          <w:tcPr>
            <w:tcW w:w="779" w:type="dxa"/>
            <w:vMerge w:val="continue"/>
            <w:noWrap w:val="0"/>
            <w:vAlign w:val="center"/>
          </w:tcPr>
          <w:p>
            <w:pPr>
              <w:widowControl/>
              <w:spacing w:line="260" w:lineRule="exact"/>
              <w:jc w:val="center"/>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6" w:type="dxa"/>
            <w:vMerge w:val="continue"/>
            <w:noWrap w:val="0"/>
            <w:vAlign w:val="center"/>
          </w:tcPr>
          <w:p>
            <w:pPr>
              <w:widowControl/>
              <w:spacing w:line="260" w:lineRule="exact"/>
              <w:jc w:val="center"/>
              <w:rPr>
                <w:color w:val="000000"/>
                <w:kern w:val="0"/>
                <w:sz w:val="21"/>
                <w:szCs w:val="21"/>
              </w:rPr>
            </w:pPr>
          </w:p>
        </w:tc>
        <w:tc>
          <w:tcPr>
            <w:tcW w:w="1164" w:type="dxa"/>
            <w:vMerge w:val="continue"/>
            <w:noWrap w:val="0"/>
            <w:vAlign w:val="center"/>
          </w:tcPr>
          <w:p>
            <w:pPr>
              <w:widowControl/>
              <w:spacing w:line="260" w:lineRule="exact"/>
              <w:jc w:val="center"/>
              <w:rPr>
                <w:color w:val="000000"/>
                <w:kern w:val="0"/>
                <w:sz w:val="21"/>
                <w:szCs w:val="21"/>
              </w:rPr>
            </w:pPr>
          </w:p>
        </w:tc>
        <w:tc>
          <w:tcPr>
            <w:tcW w:w="1134" w:type="dxa"/>
            <w:noWrap w:val="0"/>
            <w:vAlign w:val="center"/>
          </w:tcPr>
          <w:p>
            <w:pPr>
              <w:widowControl/>
              <w:spacing w:line="260" w:lineRule="exact"/>
              <w:jc w:val="center"/>
              <w:rPr>
                <w:color w:val="000000"/>
                <w:kern w:val="0"/>
                <w:sz w:val="21"/>
                <w:szCs w:val="21"/>
              </w:rPr>
            </w:pPr>
            <w:r>
              <w:rPr>
                <w:color w:val="000000"/>
                <w:kern w:val="0"/>
                <w:sz w:val="21"/>
                <w:szCs w:val="21"/>
              </w:rPr>
              <w:t>时效指标</w:t>
            </w:r>
          </w:p>
        </w:tc>
        <w:tc>
          <w:tcPr>
            <w:tcW w:w="3946" w:type="dxa"/>
            <w:gridSpan w:val="4"/>
            <w:noWrap w:val="0"/>
            <w:vAlign w:val="center"/>
          </w:tcPr>
          <w:p>
            <w:pPr>
              <w:widowControl/>
              <w:spacing w:line="260" w:lineRule="exact"/>
              <w:jc w:val="center"/>
              <w:rPr>
                <w:color w:val="000000"/>
                <w:kern w:val="0"/>
                <w:sz w:val="21"/>
                <w:szCs w:val="21"/>
              </w:rPr>
            </w:pPr>
            <w:r>
              <w:rPr>
                <w:color w:val="000000"/>
                <w:kern w:val="0"/>
                <w:sz w:val="21"/>
                <w:szCs w:val="21"/>
              </w:rPr>
              <w:t>项目完成时间</w:t>
            </w:r>
          </w:p>
        </w:tc>
        <w:tc>
          <w:tcPr>
            <w:tcW w:w="1529" w:type="dxa"/>
            <w:noWrap w:val="0"/>
            <w:vAlign w:val="center"/>
          </w:tcPr>
          <w:p>
            <w:pPr>
              <w:widowControl/>
              <w:spacing w:line="260" w:lineRule="exact"/>
              <w:jc w:val="center"/>
              <w:rPr>
                <w:color w:val="000000"/>
                <w:kern w:val="0"/>
                <w:sz w:val="21"/>
                <w:szCs w:val="21"/>
              </w:rPr>
            </w:pPr>
            <w:r>
              <w:rPr>
                <w:color w:val="000000"/>
                <w:kern w:val="0"/>
                <w:sz w:val="21"/>
                <w:szCs w:val="21"/>
              </w:rPr>
              <w:t>12月底前</w:t>
            </w:r>
          </w:p>
        </w:tc>
        <w:tc>
          <w:tcPr>
            <w:tcW w:w="1268" w:type="dxa"/>
            <w:gridSpan w:val="3"/>
            <w:noWrap w:val="0"/>
            <w:vAlign w:val="center"/>
          </w:tcPr>
          <w:p>
            <w:pPr>
              <w:widowControl/>
              <w:spacing w:line="260" w:lineRule="exact"/>
              <w:jc w:val="center"/>
              <w:rPr>
                <w:color w:val="000000"/>
                <w:kern w:val="0"/>
                <w:sz w:val="21"/>
                <w:szCs w:val="21"/>
              </w:rPr>
            </w:pPr>
            <w:r>
              <w:rPr>
                <w:color w:val="000000"/>
                <w:kern w:val="0"/>
                <w:sz w:val="21"/>
                <w:szCs w:val="21"/>
              </w:rPr>
              <w:t>12月</w:t>
            </w:r>
          </w:p>
        </w:tc>
        <w:tc>
          <w:tcPr>
            <w:tcW w:w="779" w:type="dxa"/>
            <w:vMerge w:val="continue"/>
            <w:noWrap w:val="0"/>
            <w:vAlign w:val="center"/>
          </w:tcPr>
          <w:p>
            <w:pPr>
              <w:widowControl/>
              <w:spacing w:line="260" w:lineRule="exact"/>
              <w:jc w:val="center"/>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66" w:type="dxa"/>
            <w:vMerge w:val="continue"/>
            <w:noWrap w:val="0"/>
            <w:vAlign w:val="center"/>
          </w:tcPr>
          <w:p>
            <w:pPr>
              <w:widowControl/>
              <w:spacing w:line="260" w:lineRule="exact"/>
              <w:jc w:val="center"/>
              <w:rPr>
                <w:color w:val="000000"/>
                <w:kern w:val="0"/>
                <w:sz w:val="21"/>
                <w:szCs w:val="21"/>
              </w:rPr>
            </w:pPr>
          </w:p>
        </w:tc>
        <w:tc>
          <w:tcPr>
            <w:tcW w:w="1164" w:type="dxa"/>
            <w:noWrap w:val="0"/>
            <w:vAlign w:val="center"/>
          </w:tcPr>
          <w:p>
            <w:pPr>
              <w:widowControl/>
              <w:spacing w:line="260" w:lineRule="exact"/>
              <w:jc w:val="center"/>
              <w:rPr>
                <w:color w:val="000000"/>
                <w:kern w:val="0"/>
                <w:sz w:val="21"/>
                <w:szCs w:val="21"/>
              </w:rPr>
            </w:pPr>
            <w:r>
              <w:rPr>
                <w:color w:val="000000"/>
                <w:kern w:val="0"/>
                <w:sz w:val="21"/>
                <w:szCs w:val="21"/>
              </w:rPr>
              <w:t>效益指标20分</w:t>
            </w:r>
          </w:p>
        </w:tc>
        <w:tc>
          <w:tcPr>
            <w:tcW w:w="1134" w:type="dxa"/>
            <w:noWrap w:val="0"/>
            <w:vAlign w:val="center"/>
          </w:tcPr>
          <w:p>
            <w:pPr>
              <w:widowControl/>
              <w:spacing w:line="260" w:lineRule="exact"/>
              <w:jc w:val="center"/>
              <w:rPr>
                <w:color w:val="000000"/>
                <w:kern w:val="0"/>
                <w:sz w:val="21"/>
                <w:szCs w:val="21"/>
              </w:rPr>
            </w:pPr>
            <w:r>
              <w:rPr>
                <w:color w:val="000000"/>
                <w:kern w:val="0"/>
                <w:sz w:val="21"/>
                <w:szCs w:val="21"/>
              </w:rPr>
              <w:t>经济效益</w:t>
            </w:r>
            <w:r>
              <w:rPr>
                <w:color w:val="000000"/>
                <w:kern w:val="0"/>
                <w:sz w:val="21"/>
                <w:szCs w:val="21"/>
              </w:rPr>
              <w:br w:type="textWrapping"/>
            </w:r>
            <w:r>
              <w:rPr>
                <w:color w:val="000000"/>
                <w:kern w:val="0"/>
                <w:sz w:val="21"/>
                <w:szCs w:val="21"/>
              </w:rPr>
              <w:t>指标</w:t>
            </w:r>
          </w:p>
        </w:tc>
        <w:tc>
          <w:tcPr>
            <w:tcW w:w="3946" w:type="dxa"/>
            <w:gridSpan w:val="4"/>
            <w:noWrap w:val="0"/>
            <w:vAlign w:val="center"/>
          </w:tcPr>
          <w:p>
            <w:pPr>
              <w:widowControl/>
              <w:spacing w:line="260" w:lineRule="exact"/>
              <w:jc w:val="center"/>
              <w:rPr>
                <w:color w:val="000000"/>
                <w:kern w:val="0"/>
                <w:sz w:val="21"/>
                <w:szCs w:val="21"/>
              </w:rPr>
            </w:pPr>
            <w:r>
              <w:rPr>
                <w:color w:val="000000"/>
                <w:kern w:val="0"/>
                <w:sz w:val="21"/>
                <w:szCs w:val="21"/>
              </w:rPr>
              <w:t>村级公益事业建设项目经济效益</w:t>
            </w:r>
          </w:p>
        </w:tc>
        <w:tc>
          <w:tcPr>
            <w:tcW w:w="1529" w:type="dxa"/>
            <w:noWrap w:val="0"/>
            <w:vAlign w:val="center"/>
          </w:tcPr>
          <w:p>
            <w:pPr>
              <w:widowControl/>
              <w:spacing w:line="260" w:lineRule="exact"/>
              <w:jc w:val="center"/>
              <w:rPr>
                <w:color w:val="000000"/>
                <w:kern w:val="0"/>
                <w:sz w:val="21"/>
                <w:szCs w:val="21"/>
              </w:rPr>
            </w:pPr>
            <w:r>
              <w:rPr>
                <w:color w:val="000000"/>
                <w:kern w:val="0"/>
                <w:sz w:val="21"/>
                <w:szCs w:val="21"/>
              </w:rPr>
              <w:t>≧95%</w:t>
            </w:r>
          </w:p>
        </w:tc>
        <w:tc>
          <w:tcPr>
            <w:tcW w:w="1268" w:type="dxa"/>
            <w:gridSpan w:val="3"/>
            <w:noWrap w:val="0"/>
            <w:vAlign w:val="center"/>
          </w:tcPr>
          <w:p>
            <w:pPr>
              <w:widowControl/>
              <w:spacing w:line="260" w:lineRule="exact"/>
              <w:jc w:val="center"/>
              <w:rPr>
                <w:color w:val="000000"/>
                <w:kern w:val="0"/>
                <w:sz w:val="21"/>
                <w:szCs w:val="21"/>
              </w:rPr>
            </w:pPr>
            <w:r>
              <w:rPr>
                <w:color w:val="000000"/>
                <w:kern w:val="0"/>
                <w:sz w:val="21"/>
                <w:szCs w:val="21"/>
              </w:rPr>
              <w:t>100%</w:t>
            </w:r>
          </w:p>
        </w:tc>
        <w:tc>
          <w:tcPr>
            <w:tcW w:w="779" w:type="dxa"/>
            <w:noWrap w:val="0"/>
            <w:vAlign w:val="center"/>
          </w:tcPr>
          <w:p>
            <w:pPr>
              <w:widowControl/>
              <w:spacing w:line="260" w:lineRule="exact"/>
              <w:jc w:val="center"/>
              <w:rPr>
                <w:color w:val="000000"/>
                <w:kern w:val="0"/>
                <w:sz w:val="21"/>
                <w:szCs w:val="21"/>
              </w:rPr>
            </w:pPr>
            <w:r>
              <w:rPr>
                <w:color w:val="000000"/>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vMerge w:val="continue"/>
            <w:noWrap w:val="0"/>
            <w:vAlign w:val="center"/>
          </w:tcPr>
          <w:p>
            <w:pPr>
              <w:widowControl/>
              <w:spacing w:line="260" w:lineRule="exact"/>
              <w:jc w:val="center"/>
              <w:rPr>
                <w:color w:val="000000"/>
                <w:kern w:val="0"/>
                <w:sz w:val="21"/>
                <w:szCs w:val="21"/>
              </w:rPr>
            </w:pPr>
          </w:p>
        </w:tc>
        <w:tc>
          <w:tcPr>
            <w:tcW w:w="1164" w:type="dxa"/>
            <w:noWrap w:val="0"/>
            <w:vAlign w:val="center"/>
          </w:tcPr>
          <w:p>
            <w:pPr>
              <w:widowControl/>
              <w:spacing w:line="260" w:lineRule="exact"/>
              <w:jc w:val="center"/>
              <w:rPr>
                <w:color w:val="000000"/>
                <w:kern w:val="0"/>
                <w:sz w:val="21"/>
                <w:szCs w:val="21"/>
              </w:rPr>
            </w:pPr>
            <w:r>
              <w:rPr>
                <w:color w:val="000000"/>
                <w:kern w:val="0"/>
                <w:sz w:val="21"/>
                <w:szCs w:val="21"/>
              </w:rPr>
              <w:t>满意度</w:t>
            </w:r>
          </w:p>
          <w:p>
            <w:pPr>
              <w:widowControl/>
              <w:spacing w:line="260" w:lineRule="exact"/>
              <w:jc w:val="center"/>
              <w:rPr>
                <w:color w:val="000000"/>
                <w:kern w:val="0"/>
                <w:sz w:val="21"/>
                <w:szCs w:val="21"/>
              </w:rPr>
            </w:pPr>
            <w:r>
              <w:rPr>
                <w:color w:val="000000"/>
                <w:kern w:val="0"/>
                <w:sz w:val="21"/>
                <w:szCs w:val="21"/>
              </w:rPr>
              <w:t>指标20分</w:t>
            </w:r>
          </w:p>
        </w:tc>
        <w:tc>
          <w:tcPr>
            <w:tcW w:w="1134" w:type="dxa"/>
            <w:noWrap w:val="0"/>
            <w:vAlign w:val="center"/>
          </w:tcPr>
          <w:p>
            <w:pPr>
              <w:widowControl/>
              <w:spacing w:line="260" w:lineRule="exact"/>
              <w:jc w:val="center"/>
              <w:rPr>
                <w:color w:val="000000"/>
                <w:kern w:val="0"/>
                <w:sz w:val="21"/>
                <w:szCs w:val="21"/>
              </w:rPr>
            </w:pPr>
            <w:r>
              <w:rPr>
                <w:color w:val="000000"/>
                <w:kern w:val="0"/>
                <w:sz w:val="21"/>
                <w:szCs w:val="21"/>
              </w:rPr>
              <w:t>受益群众</w:t>
            </w:r>
          </w:p>
        </w:tc>
        <w:tc>
          <w:tcPr>
            <w:tcW w:w="3946" w:type="dxa"/>
            <w:gridSpan w:val="4"/>
            <w:noWrap w:val="0"/>
            <w:vAlign w:val="center"/>
          </w:tcPr>
          <w:p>
            <w:pPr>
              <w:widowControl/>
              <w:spacing w:line="260" w:lineRule="exact"/>
              <w:jc w:val="center"/>
              <w:rPr>
                <w:color w:val="000000"/>
                <w:kern w:val="0"/>
                <w:sz w:val="21"/>
                <w:szCs w:val="21"/>
              </w:rPr>
            </w:pPr>
            <w:r>
              <w:rPr>
                <w:color w:val="000000"/>
                <w:kern w:val="0"/>
                <w:sz w:val="21"/>
                <w:szCs w:val="21"/>
              </w:rPr>
              <w:t>群众满意度</w:t>
            </w:r>
          </w:p>
        </w:tc>
        <w:tc>
          <w:tcPr>
            <w:tcW w:w="1529" w:type="dxa"/>
            <w:noWrap w:val="0"/>
            <w:vAlign w:val="center"/>
          </w:tcPr>
          <w:p>
            <w:pPr>
              <w:widowControl/>
              <w:spacing w:line="260" w:lineRule="exact"/>
              <w:jc w:val="center"/>
              <w:rPr>
                <w:color w:val="000000"/>
                <w:kern w:val="0"/>
                <w:sz w:val="21"/>
                <w:szCs w:val="21"/>
              </w:rPr>
            </w:pPr>
            <w:r>
              <w:rPr>
                <w:color w:val="000000"/>
                <w:kern w:val="0"/>
                <w:sz w:val="21"/>
                <w:szCs w:val="21"/>
              </w:rPr>
              <w:t>≧95%</w:t>
            </w:r>
          </w:p>
        </w:tc>
        <w:tc>
          <w:tcPr>
            <w:tcW w:w="1268" w:type="dxa"/>
            <w:gridSpan w:val="3"/>
            <w:noWrap w:val="0"/>
            <w:vAlign w:val="center"/>
          </w:tcPr>
          <w:p>
            <w:pPr>
              <w:widowControl/>
              <w:spacing w:line="260" w:lineRule="exact"/>
              <w:jc w:val="center"/>
              <w:rPr>
                <w:color w:val="000000"/>
                <w:kern w:val="0"/>
                <w:sz w:val="21"/>
                <w:szCs w:val="21"/>
              </w:rPr>
            </w:pPr>
            <w:r>
              <w:rPr>
                <w:color w:val="000000"/>
                <w:kern w:val="0"/>
                <w:sz w:val="21"/>
                <w:szCs w:val="21"/>
              </w:rPr>
              <w:t>92</w:t>
            </w:r>
          </w:p>
        </w:tc>
        <w:tc>
          <w:tcPr>
            <w:tcW w:w="779" w:type="dxa"/>
            <w:noWrap w:val="0"/>
            <w:vAlign w:val="center"/>
          </w:tcPr>
          <w:p>
            <w:pPr>
              <w:widowControl/>
              <w:spacing w:line="260" w:lineRule="exact"/>
              <w:jc w:val="center"/>
              <w:rPr>
                <w:color w:val="000000"/>
                <w:kern w:val="0"/>
                <w:sz w:val="21"/>
                <w:szCs w:val="21"/>
              </w:rPr>
            </w:pPr>
            <w:r>
              <w:rPr>
                <w:color w:val="000000"/>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widowControl/>
              <w:spacing w:line="260" w:lineRule="exact"/>
              <w:jc w:val="center"/>
              <w:rPr>
                <w:color w:val="000000"/>
                <w:kern w:val="0"/>
                <w:sz w:val="21"/>
                <w:szCs w:val="21"/>
              </w:rPr>
            </w:pPr>
            <w:r>
              <w:rPr>
                <w:color w:val="000000"/>
                <w:kern w:val="0"/>
                <w:sz w:val="21"/>
                <w:szCs w:val="21"/>
              </w:rPr>
              <w:t>分值合计</w:t>
            </w:r>
          </w:p>
        </w:tc>
        <w:tc>
          <w:tcPr>
            <w:tcW w:w="1164" w:type="dxa"/>
            <w:noWrap w:val="0"/>
            <w:vAlign w:val="center"/>
          </w:tcPr>
          <w:p>
            <w:pPr>
              <w:widowControl/>
              <w:spacing w:line="260" w:lineRule="exact"/>
              <w:jc w:val="center"/>
              <w:rPr>
                <w:color w:val="000000"/>
                <w:kern w:val="0"/>
                <w:sz w:val="21"/>
                <w:szCs w:val="21"/>
              </w:rPr>
            </w:pPr>
            <w:r>
              <w:rPr>
                <w:color w:val="000000"/>
                <w:kern w:val="0"/>
                <w:sz w:val="21"/>
                <w:szCs w:val="21"/>
              </w:rPr>
              <w:t>100分</w:t>
            </w:r>
          </w:p>
        </w:tc>
        <w:tc>
          <w:tcPr>
            <w:tcW w:w="1134" w:type="dxa"/>
            <w:noWrap w:val="0"/>
            <w:vAlign w:val="center"/>
          </w:tcPr>
          <w:p>
            <w:pPr>
              <w:widowControl/>
              <w:spacing w:line="260" w:lineRule="exact"/>
              <w:jc w:val="right"/>
              <w:rPr>
                <w:color w:val="000000"/>
                <w:kern w:val="0"/>
                <w:sz w:val="21"/>
                <w:szCs w:val="21"/>
              </w:rPr>
            </w:pPr>
          </w:p>
        </w:tc>
        <w:tc>
          <w:tcPr>
            <w:tcW w:w="3940" w:type="dxa"/>
            <w:gridSpan w:val="3"/>
            <w:noWrap w:val="0"/>
            <w:vAlign w:val="center"/>
          </w:tcPr>
          <w:p>
            <w:pPr>
              <w:widowControl/>
              <w:spacing w:line="260" w:lineRule="exact"/>
              <w:jc w:val="right"/>
              <w:rPr>
                <w:color w:val="000000"/>
                <w:kern w:val="0"/>
                <w:sz w:val="21"/>
                <w:szCs w:val="21"/>
              </w:rPr>
            </w:pPr>
          </w:p>
        </w:tc>
        <w:tc>
          <w:tcPr>
            <w:tcW w:w="1535" w:type="dxa"/>
            <w:gridSpan w:val="2"/>
            <w:noWrap w:val="0"/>
            <w:vAlign w:val="center"/>
          </w:tcPr>
          <w:p>
            <w:pPr>
              <w:widowControl/>
              <w:spacing w:line="260" w:lineRule="exact"/>
              <w:jc w:val="right"/>
              <w:rPr>
                <w:color w:val="000000"/>
                <w:kern w:val="0"/>
                <w:sz w:val="21"/>
                <w:szCs w:val="21"/>
              </w:rPr>
            </w:pPr>
          </w:p>
        </w:tc>
        <w:tc>
          <w:tcPr>
            <w:tcW w:w="1262" w:type="dxa"/>
            <w:gridSpan w:val="2"/>
            <w:noWrap w:val="0"/>
            <w:vAlign w:val="center"/>
          </w:tcPr>
          <w:p>
            <w:pPr>
              <w:widowControl/>
              <w:spacing w:line="260" w:lineRule="exact"/>
              <w:jc w:val="right"/>
              <w:rPr>
                <w:color w:val="000000"/>
                <w:kern w:val="0"/>
                <w:sz w:val="21"/>
                <w:szCs w:val="21"/>
              </w:rPr>
            </w:pPr>
          </w:p>
        </w:tc>
        <w:tc>
          <w:tcPr>
            <w:tcW w:w="785" w:type="dxa"/>
            <w:gridSpan w:val="2"/>
            <w:noWrap w:val="0"/>
            <w:vAlign w:val="center"/>
          </w:tcPr>
          <w:p>
            <w:pPr>
              <w:widowControl/>
              <w:spacing w:line="260" w:lineRule="exact"/>
              <w:jc w:val="center"/>
              <w:rPr>
                <w:color w:val="000000"/>
                <w:kern w:val="0"/>
                <w:sz w:val="21"/>
                <w:szCs w:val="21"/>
              </w:rPr>
            </w:pPr>
            <w:r>
              <w:rPr>
                <w:color w:val="000000"/>
                <w:kern w:val="0"/>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gridSpan w:val="2"/>
            <w:noWrap w:val="0"/>
            <w:vAlign w:val="center"/>
          </w:tcPr>
          <w:p>
            <w:pPr>
              <w:widowControl/>
              <w:spacing w:line="260" w:lineRule="exact"/>
              <w:jc w:val="center"/>
              <w:rPr>
                <w:color w:val="000000"/>
                <w:kern w:val="0"/>
                <w:sz w:val="21"/>
                <w:szCs w:val="21"/>
              </w:rPr>
            </w:pPr>
            <w:r>
              <w:rPr>
                <w:color w:val="000000"/>
                <w:kern w:val="0"/>
                <w:sz w:val="21"/>
                <w:szCs w:val="21"/>
              </w:rPr>
              <w:t>偏差大或目标未完成原因分析</w:t>
            </w:r>
          </w:p>
        </w:tc>
        <w:tc>
          <w:tcPr>
            <w:tcW w:w="8656" w:type="dxa"/>
            <w:gridSpan w:val="10"/>
            <w:noWrap w:val="0"/>
            <w:vAlign w:val="center"/>
          </w:tcPr>
          <w:p>
            <w:pPr>
              <w:widowControl/>
              <w:spacing w:line="260" w:lineRule="exact"/>
              <w:jc w:val="left"/>
              <w:rPr>
                <w:color w:val="000000"/>
                <w:kern w:val="0"/>
                <w:sz w:val="21"/>
                <w:szCs w:val="21"/>
              </w:rPr>
            </w:pPr>
            <w:r>
              <w:rPr>
                <w:color w:val="000000"/>
                <w:kern w:val="0"/>
                <w:sz w:val="21"/>
                <w:szCs w:val="21"/>
              </w:rPr>
              <w:t>1.政策宣传不够；2.年度部分指标值（合格率）有待进一步提高。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gridSpan w:val="2"/>
            <w:noWrap w:val="0"/>
            <w:vAlign w:val="center"/>
          </w:tcPr>
          <w:p>
            <w:pPr>
              <w:widowControl/>
              <w:spacing w:line="300" w:lineRule="exact"/>
              <w:jc w:val="center"/>
              <w:rPr>
                <w:color w:val="000000"/>
                <w:kern w:val="0"/>
                <w:sz w:val="21"/>
                <w:szCs w:val="21"/>
              </w:rPr>
            </w:pPr>
            <w:r>
              <w:rPr>
                <w:color w:val="000000"/>
                <w:kern w:val="0"/>
                <w:sz w:val="21"/>
                <w:szCs w:val="21"/>
              </w:rPr>
              <w:t>改进措施及结果应用方案</w:t>
            </w:r>
          </w:p>
        </w:tc>
        <w:tc>
          <w:tcPr>
            <w:tcW w:w="8656" w:type="dxa"/>
            <w:gridSpan w:val="10"/>
            <w:noWrap w:val="0"/>
            <w:vAlign w:val="center"/>
          </w:tcPr>
          <w:p>
            <w:pPr>
              <w:widowControl/>
              <w:spacing w:line="300" w:lineRule="exact"/>
              <w:jc w:val="left"/>
              <w:rPr>
                <w:color w:val="000000"/>
                <w:kern w:val="0"/>
                <w:sz w:val="21"/>
                <w:szCs w:val="21"/>
              </w:rPr>
            </w:pPr>
            <w:r>
              <w:rPr>
                <w:color w:val="000000"/>
                <w:kern w:val="0"/>
                <w:sz w:val="21"/>
                <w:szCs w:val="21"/>
              </w:rPr>
              <w:t>1.积极宣扬财政法律知识和财政政策，提高群众政策知晓程度；2.热情接待来访群众，耐心做好群众解释工作；3.进一步优化部门整体支出绩效评价指标，力求科学，实用。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gridSpan w:val="2"/>
            <w:noWrap w:val="0"/>
            <w:vAlign w:val="center"/>
          </w:tcPr>
          <w:p>
            <w:pPr>
              <w:widowControl/>
              <w:spacing w:line="300" w:lineRule="exact"/>
              <w:jc w:val="center"/>
              <w:rPr>
                <w:color w:val="000000"/>
                <w:kern w:val="0"/>
                <w:sz w:val="21"/>
                <w:szCs w:val="21"/>
              </w:rPr>
            </w:pPr>
            <w:r>
              <w:rPr>
                <w:color w:val="000000"/>
                <w:kern w:val="0"/>
                <w:sz w:val="21"/>
                <w:szCs w:val="21"/>
              </w:rPr>
              <w:t>备注</w:t>
            </w:r>
          </w:p>
        </w:tc>
        <w:tc>
          <w:tcPr>
            <w:tcW w:w="8656" w:type="dxa"/>
            <w:gridSpan w:val="10"/>
            <w:noWrap w:val="0"/>
            <w:vAlign w:val="center"/>
          </w:tcPr>
          <w:p>
            <w:pPr>
              <w:widowControl/>
              <w:spacing w:line="300" w:lineRule="exact"/>
              <w:jc w:val="left"/>
              <w:rPr>
                <w:color w:val="000000"/>
                <w:kern w:val="0"/>
                <w:sz w:val="21"/>
                <w:szCs w:val="21"/>
              </w:rPr>
            </w:pPr>
            <w:r>
              <w:rPr>
                <w:color w:val="000000"/>
                <w:kern w:val="0"/>
                <w:sz w:val="21"/>
                <w:szCs w:val="21"/>
              </w:rPr>
              <w:t>1.预算执行情况口径：预算数为调整后财政资金总额（包括上年结余结转），执行数为资金使用单位财政资金实际支出数。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3.定性指标计分原则：达成预期指标、部分达成预期指标并具有一定效果、未达成预期指标且效果较差三档，分别按照该指标对应分值区间100%—80%（含80%）、80%—50%（含50%）、50%-0%合理确定分值。汇总时，以资金额度为权重，对分值进行加权平均计算。</w:t>
            </w:r>
          </w:p>
        </w:tc>
      </w:tr>
    </w:tbl>
    <w:p/>
    <w:p>
      <w:pPr>
        <w:pStyle w:val="10"/>
        <w:numPr>
          <w:ilvl w:val="0"/>
          <w:numId w:val="0"/>
        </w:numPr>
        <w:jc w:val="both"/>
        <w:rPr>
          <w:rFonts w:hint="default" w:ascii="仿宋_GB2312" w:hAnsi="宋体" w:eastAsia="仿宋_GB2312" w:cs="仿宋_GB2312"/>
          <w:kern w:val="0"/>
          <w:sz w:val="20"/>
          <w:szCs w:val="20"/>
          <w:lang w:val="en-US" w:eastAsia="zh-CN"/>
        </w:rPr>
      </w:pPr>
    </w:p>
    <w:p>
      <w:pPr>
        <w:bidi w:val="0"/>
        <w:jc w:val="both"/>
        <w:rPr>
          <w:rFonts w:hint="eastAsia"/>
          <w:lang w:val="en-US" w:eastAsia="zh-CN"/>
        </w:rPr>
      </w:pPr>
    </w:p>
    <w:p>
      <w:pPr>
        <w:bidi w:val="0"/>
        <w:ind w:firstLine="640" w:firstLineChars="200"/>
        <w:jc w:val="both"/>
        <w:rPr>
          <w:rFonts w:hint="eastAsia" w:ascii="黑体" w:hAnsi="黑体" w:eastAsia="黑体" w:cs="黑体"/>
          <w:lang w:val="en-US" w:eastAsia="zh-CN"/>
        </w:rPr>
      </w:pPr>
    </w:p>
    <w:p>
      <w:pPr>
        <w:bidi w:val="0"/>
        <w:jc w:val="both"/>
        <w:rPr>
          <w:rFonts w:hint="default"/>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600000000000000"/>
    <w:charset w:val="86"/>
    <w:family w:val="auto"/>
    <w:pitch w:val="default"/>
    <w:sig w:usb0="00000000" w:usb1="00000000" w:usb2="00000012" w:usb3="00000000" w:csb0="00160001" w:csb1="12030000"/>
  </w:font>
  <w:font w:name="楷体_GB2312">
    <w:panose1 w:val="02010609030101010101"/>
    <w:charset w:val="86"/>
    <w:family w:val="modern"/>
    <w:pitch w:val="default"/>
    <w:sig w:usb0="00000001" w:usb1="080E0000" w:usb2="00000000" w:usb3="00000000" w:csb0="00040000" w:csb1="00000000"/>
  </w:font>
  <w:font w:name="？？">
    <w:altName w:val="宋体"/>
    <w:panose1 w:val="00000000000000000000"/>
    <w:charset w:val="86"/>
    <w:family w:val="roman"/>
    <w:pitch w:val="default"/>
    <w:sig w:usb0="00000000" w:usb1="00000000" w:usb2="00000010" w:usb3="00000000" w:csb0="00040000" w:csb1="00000000"/>
  </w:font>
  <w:font w:name="FangSong_GB2312">
    <w:altName w:val="仿宋_GB2312"/>
    <w:panose1 w:val="02010609030101010101"/>
    <w:charset w:val="86"/>
    <w:family w:val="swiss"/>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lang w:val="en-US" w:eastAsia="zh-CN"/>
      </w:rPr>
    </w:pPr>
    <w:r>
      <w:rPr>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ELF90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aBCxfdAQAAvgMAAA4AAAAAAAAA&#10;AQAgAAAAHgEAAGRycy9lMm9Eb2MueG1sUEsFBgAAAAAGAAYAWQEAAG0FAAAAAA==&#10;">
              <v:fill on="f" focussize="0,0"/>
              <v:stroke on="f"/>
              <v:imagedata o:title=""/>
              <o:lock v:ext="edit" aspectratio="f"/>
              <v:textbox inset="0mm,0mm,0mm,0mm" style="mso-fit-shape-to-text:t;">
                <w:txbxContent>
                  <w:p>
                    <w:pPr>
                      <w:pStyle w:val="4"/>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CD7DC"/>
    <w:multiLevelType w:val="singleLevel"/>
    <w:tmpl w:val="BA2CD7DC"/>
    <w:lvl w:ilvl="0" w:tentative="0">
      <w:start w:val="5"/>
      <w:numFmt w:val="chineseCounting"/>
      <w:suff w:val="nothing"/>
      <w:lvlText w:val="（%1）"/>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M2E1YWIwOTNjZTA5NDA2OGQ2YTFlYTJmMjY4YjYifQ=="/>
  </w:docVars>
  <w:rsids>
    <w:rsidRoot w:val="00172A27"/>
    <w:rsid w:val="001963A3"/>
    <w:rsid w:val="005F5AB2"/>
    <w:rsid w:val="01CB1F98"/>
    <w:rsid w:val="037A05EF"/>
    <w:rsid w:val="03C44B8E"/>
    <w:rsid w:val="04506126"/>
    <w:rsid w:val="05690A52"/>
    <w:rsid w:val="056A57F8"/>
    <w:rsid w:val="06E66B95"/>
    <w:rsid w:val="083B3AA1"/>
    <w:rsid w:val="0BC5442A"/>
    <w:rsid w:val="0C07575C"/>
    <w:rsid w:val="0DE810F5"/>
    <w:rsid w:val="11DE75FC"/>
    <w:rsid w:val="14DA6F10"/>
    <w:rsid w:val="14FB2910"/>
    <w:rsid w:val="16BA58CD"/>
    <w:rsid w:val="17C17586"/>
    <w:rsid w:val="183E1E36"/>
    <w:rsid w:val="188A4958"/>
    <w:rsid w:val="18F7685E"/>
    <w:rsid w:val="19B968F6"/>
    <w:rsid w:val="1A6839AC"/>
    <w:rsid w:val="1CC610FE"/>
    <w:rsid w:val="1D723D53"/>
    <w:rsid w:val="1DFE6FCD"/>
    <w:rsid w:val="1E474528"/>
    <w:rsid w:val="1EAC670F"/>
    <w:rsid w:val="1FDA3BD3"/>
    <w:rsid w:val="201F77E1"/>
    <w:rsid w:val="20F87D04"/>
    <w:rsid w:val="21780E44"/>
    <w:rsid w:val="22C571D0"/>
    <w:rsid w:val="24B71C84"/>
    <w:rsid w:val="263C0693"/>
    <w:rsid w:val="264A74E3"/>
    <w:rsid w:val="27ED1A69"/>
    <w:rsid w:val="28713AB2"/>
    <w:rsid w:val="2A1417A1"/>
    <w:rsid w:val="2B3C0296"/>
    <w:rsid w:val="2C0F23A5"/>
    <w:rsid w:val="2C701C77"/>
    <w:rsid w:val="31333004"/>
    <w:rsid w:val="32C722DC"/>
    <w:rsid w:val="340B3D23"/>
    <w:rsid w:val="341D3908"/>
    <w:rsid w:val="34207FB1"/>
    <w:rsid w:val="34A57D4B"/>
    <w:rsid w:val="35C12962"/>
    <w:rsid w:val="35EF127D"/>
    <w:rsid w:val="360D7E33"/>
    <w:rsid w:val="37164509"/>
    <w:rsid w:val="38946500"/>
    <w:rsid w:val="391334D5"/>
    <w:rsid w:val="395625C9"/>
    <w:rsid w:val="39D233C3"/>
    <w:rsid w:val="39FE4185"/>
    <w:rsid w:val="3B054D3A"/>
    <w:rsid w:val="3B0A03DC"/>
    <w:rsid w:val="3BA91667"/>
    <w:rsid w:val="3BD17B72"/>
    <w:rsid w:val="3CD166C2"/>
    <w:rsid w:val="3FAA4B03"/>
    <w:rsid w:val="40A95D94"/>
    <w:rsid w:val="43D5667B"/>
    <w:rsid w:val="44B9543D"/>
    <w:rsid w:val="49266DF4"/>
    <w:rsid w:val="49F004FA"/>
    <w:rsid w:val="4AD109BF"/>
    <w:rsid w:val="4D9046D4"/>
    <w:rsid w:val="4E4B77CC"/>
    <w:rsid w:val="4E8733DF"/>
    <w:rsid w:val="4F1D65F2"/>
    <w:rsid w:val="50B96357"/>
    <w:rsid w:val="5A673E49"/>
    <w:rsid w:val="5AD05272"/>
    <w:rsid w:val="5D134346"/>
    <w:rsid w:val="601209B3"/>
    <w:rsid w:val="611840DD"/>
    <w:rsid w:val="613A1697"/>
    <w:rsid w:val="64E2007C"/>
    <w:rsid w:val="65355796"/>
    <w:rsid w:val="65446B49"/>
    <w:rsid w:val="65832E44"/>
    <w:rsid w:val="65856120"/>
    <w:rsid w:val="68D77054"/>
    <w:rsid w:val="69140E8F"/>
    <w:rsid w:val="69BF098B"/>
    <w:rsid w:val="69D32689"/>
    <w:rsid w:val="6A2C28BD"/>
    <w:rsid w:val="6B9F6CC6"/>
    <w:rsid w:val="6BB75573"/>
    <w:rsid w:val="6C51446C"/>
    <w:rsid w:val="6E6510F1"/>
    <w:rsid w:val="70D6480D"/>
    <w:rsid w:val="72256CD8"/>
    <w:rsid w:val="76F1107A"/>
    <w:rsid w:val="7751638C"/>
    <w:rsid w:val="79694AF0"/>
    <w:rsid w:val="7A226BE9"/>
    <w:rsid w:val="7AB13AC2"/>
    <w:rsid w:val="7CE01F2A"/>
    <w:rsid w:val="7D4D43EF"/>
    <w:rsid w:val="7D702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Cs w:val="21"/>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sz w:val="32"/>
    </w:rPr>
  </w:style>
  <w:style w:type="paragraph" w:styleId="4">
    <w:name w:val="footer"/>
    <w:basedOn w:val="1"/>
    <w:qFormat/>
    <w:uiPriority w:val="0"/>
    <w:pPr>
      <w:tabs>
        <w:tab w:val="center" w:pos="4153"/>
        <w:tab w:val="right" w:pos="8306"/>
      </w:tabs>
      <w:snapToGrid w:val="0"/>
      <w:jc w:val="left"/>
    </w:pPr>
    <w:rPr>
      <w:sz w:val="18"/>
      <w:lang w:val="en-US" w:eastAsia="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lang w:val="en-US" w:eastAsia="zh-CN"/>
    </w:rPr>
  </w:style>
  <w:style w:type="paragraph" w:styleId="6">
    <w:name w:val="footnote text"/>
    <w:basedOn w:val="1"/>
    <w:next w:val="1"/>
    <w:qFormat/>
    <w:uiPriority w:val="0"/>
    <w:pPr>
      <w:snapToGrid w:val="0"/>
      <w:jc w:val="left"/>
    </w:pPr>
    <w:rPr>
      <w:sz w:val="32"/>
      <w:lang w:val="en-US" w:eastAsia="zh-CN"/>
    </w:rPr>
  </w:style>
  <w:style w:type="paragraph" w:styleId="7">
    <w:name w:val="Normal (Web)"/>
    <w:basedOn w:val="1"/>
    <w:qFormat/>
    <w:uiPriority w:val="0"/>
    <w:pPr>
      <w:spacing w:before="100" w:beforeAutospacing="1" w:after="100" w:afterAutospacing="1"/>
      <w:jc w:val="left"/>
    </w:pPr>
    <w:rPr>
      <w:kern w:val="0"/>
      <w:sz w:val="24"/>
    </w:rPr>
  </w:style>
  <w:style w:type="paragraph" w:customStyle="1" w:styleId="10">
    <w:name w:val="正文缩进 + 首行缩进:  2 字符"/>
    <w:basedOn w:val="1"/>
    <w:qFormat/>
    <w:uiPriority w:val="0"/>
    <w:pPr>
      <w:spacing w:line="560" w:lineRule="exact"/>
      <w:ind w:firstLine="640"/>
      <w:jc w:val="both"/>
    </w:pPr>
    <w:rPr>
      <w:rFonts w:ascii="仿宋" w:hAnsi="仿宋" w:eastAsia="仿宋" w:cs="宋体"/>
      <w:sz w:val="32"/>
      <w:szCs w:val="20"/>
      <w:lang w:val="en-US" w:eastAsia="zh-CN"/>
    </w:r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2">
    <w:name w:val="样式1"/>
    <w:basedOn w:val="1"/>
    <w:qFormat/>
    <w:uiPriority w:val="0"/>
    <w:pPr>
      <w:jc w:val="both"/>
    </w:pPr>
    <w:rPr>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17047</Words>
  <Characters>21216</Characters>
  <Lines>0</Lines>
  <Paragraphs>0</Paragraphs>
  <TotalTime>0</TotalTime>
  <ScaleCrop>false</ScaleCrop>
  <LinksUpToDate>false</LinksUpToDate>
  <CharactersWithSpaces>21542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Administrator</cp:lastModifiedBy>
  <cp:lastPrinted>2024-08-06T01:26:00Z</cp:lastPrinted>
  <dcterms:modified xsi:type="dcterms:W3CDTF">2025-08-25T01:35:06Z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BD8099CD19AC41BA9EE980778EE8AD58</vt:lpwstr>
  </property>
  <property fmtid="{D5CDD505-2E9C-101B-9397-08002B2CF9AE}" pid="4" name="KSOTemplateDocerSaveRecord">
    <vt:lpwstr>eyJoZGlkIjoiZWYwMmUxMGQ1YmY5Mzc1YjM2YjUyOTZkOTRmMzM3ODkiLCJ1c2VySWQiOiIyMTI2MjQ5NzcifQ==</vt:lpwstr>
  </property>
</Properties>
</file>