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bidi w:val="0"/>
        <w:spacing w:line="360" w:lineRule="auto"/>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b/>
          <w:bCs/>
          <w:sz w:val="36"/>
          <w:szCs w:val="36"/>
          <w:lang w:val="en-US" w:eastAsia="zh-CN"/>
        </w:rPr>
        <w:t>通山县慈口乡中心小学</w:t>
      </w:r>
      <w:r>
        <w:rPr>
          <w:rFonts w:hint="eastAsia" w:ascii="微软雅黑" w:hAnsi="微软雅黑" w:eastAsia="微软雅黑" w:cs="微软雅黑"/>
          <w:sz w:val="36"/>
          <w:szCs w:val="36"/>
          <w:lang w:val="en-US" w:eastAsia="zh-CN"/>
        </w:rPr>
        <w:t>2022年度部门决算公开</w:t>
      </w:r>
    </w:p>
    <w:p>
      <w:pPr>
        <w:keepNext w:val="0"/>
        <w:keepLines w:val="0"/>
        <w:pageBreakBefore w:val="0"/>
        <w:widowControl w:val="0"/>
        <w:shd w:val="clear" w:color="auto" w:fill="FFFFFF"/>
        <w:kinsoku/>
        <w:wordWrap/>
        <w:overflowPunct/>
        <w:topLinePunct w:val="0"/>
        <w:bidi w:val="0"/>
        <w:spacing w:before="240" w:after="240" w:line="360" w:lineRule="auto"/>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rPr>
      </w:pPr>
      <w:r>
        <w:rPr>
          <w:rStyle w:val="9"/>
          <w:rFonts w:hint="eastAsia" w:ascii="黑体" w:hAnsi="黑体" w:eastAsia="黑体" w:cs="黑体"/>
          <w:sz w:val="32"/>
          <w:szCs w:val="32"/>
          <w:rtl w:val="0"/>
        </w:rPr>
        <w:t>第一部分</w:t>
      </w:r>
      <w:r>
        <w:rPr>
          <w:rStyle w:val="9"/>
          <w:rFonts w:hint="eastAsia" w:ascii="黑体" w:hAnsi="黑体" w:eastAsia="黑体" w:cs="黑体"/>
          <w:sz w:val="32"/>
          <w:szCs w:val="32"/>
          <w:rtl w:val="0"/>
          <w:lang w:val="en-US" w:eastAsia="en-US"/>
        </w:rPr>
        <w:t xml:space="preserve">  </w:t>
      </w:r>
      <w:r>
        <w:rPr>
          <w:rStyle w:val="9"/>
          <w:rFonts w:hint="eastAsia" w:ascii="黑体" w:hAnsi="黑体" w:eastAsia="黑体" w:cs="黑体"/>
          <w:sz w:val="32"/>
          <w:szCs w:val="32"/>
          <w:rtl w:val="0"/>
          <w:lang w:val="en-US" w:eastAsia="zh-CN"/>
        </w:rPr>
        <w:t>通山县慈口乡中心小学</w:t>
      </w:r>
      <w:r>
        <w:rPr>
          <w:rStyle w:val="9"/>
          <w:rFonts w:hint="eastAsia" w:ascii="黑体" w:hAnsi="黑体" w:eastAsia="黑体" w:cs="黑体"/>
          <w:sz w:val="32"/>
          <w:szCs w:val="32"/>
          <w:rtl w:val="0"/>
        </w:rPr>
        <w:t>概况</w:t>
      </w:r>
    </w:p>
    <w:p>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一、部门主要</w:t>
      </w:r>
      <w:r>
        <w:rPr>
          <w:rFonts w:hint="eastAsia" w:ascii="仿宋_GB2312" w:hAnsi="宋体" w:cs="Times New Roman"/>
          <w:bCs/>
          <w:sz w:val="32"/>
          <w:szCs w:val="32"/>
          <w:highlight w:val="none"/>
          <w:rtl w:val="0"/>
          <w:lang w:eastAsia="zh-CN"/>
        </w:rPr>
        <w:t>职责</w:t>
      </w:r>
    </w:p>
    <w:p>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二、</w:t>
      </w:r>
      <w:r>
        <w:rPr>
          <w:rFonts w:hint="eastAsia" w:ascii="仿宋_GB2312" w:hAnsi="宋体" w:cs="Times New Roman"/>
          <w:bCs/>
          <w:sz w:val="32"/>
          <w:szCs w:val="32"/>
          <w:highlight w:val="none"/>
          <w:rtl w:val="0"/>
          <w:lang w:eastAsia="zh-CN"/>
        </w:rPr>
        <w:t>机构设置情况</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9"/>
          <w:rFonts w:ascii="黑体" w:hAnsi="黑体" w:eastAsia="黑体" w:cs="黑体"/>
          <w:sz w:val="32"/>
          <w:szCs w:val="32"/>
          <w:rtl w:val="0"/>
        </w:rPr>
        <w:t>第二部分</w:t>
      </w:r>
      <w:r>
        <w:rPr>
          <w:rStyle w:val="9"/>
          <w:rFonts w:ascii="黑体" w:hAnsi="黑体" w:eastAsia="黑体" w:cs="黑体"/>
          <w:sz w:val="32"/>
          <w:szCs w:val="32"/>
          <w:rtl w:val="0"/>
          <w:lang w:val="en-US" w:eastAsia="en-US"/>
        </w:rPr>
        <w:t> </w:t>
      </w:r>
      <w:r>
        <w:rPr>
          <w:rStyle w:val="9"/>
          <w:rFonts w:ascii="黑体" w:hAnsi="黑体" w:eastAsia="黑体" w:cs="黑体"/>
          <w:sz w:val="32"/>
          <w:szCs w:val="32"/>
          <w:u w:val="none"/>
          <w:rtl w:val="0"/>
          <w:lang w:val="en-US" w:eastAsia="en-US"/>
        </w:rPr>
        <w:t xml:space="preserve"> </w:t>
      </w:r>
      <w:r>
        <w:rPr>
          <w:rStyle w:val="9"/>
          <w:rFonts w:hint="eastAsia" w:ascii="黑体" w:hAnsi="黑体" w:eastAsia="黑体" w:cs="黑体"/>
          <w:sz w:val="32"/>
          <w:szCs w:val="32"/>
          <w:rtl w:val="0"/>
          <w:lang w:val="en-US" w:eastAsia="zh-CN"/>
        </w:rPr>
        <w:t>通山县慈口乡中心小学</w:t>
      </w:r>
      <w:r>
        <w:rPr>
          <w:rStyle w:val="9"/>
          <w:rFonts w:ascii="黑体" w:hAnsi="黑体" w:eastAsia="黑体" w:cs="黑体"/>
          <w:sz w:val="32"/>
          <w:szCs w:val="32"/>
          <w:rtl w:val="0"/>
          <w:lang w:val="en-US" w:eastAsia="en-US"/>
        </w:rPr>
        <w:t>20</w:t>
      </w:r>
      <w:r>
        <w:rPr>
          <w:rStyle w:val="9"/>
          <w:rFonts w:hint="eastAsia" w:ascii="黑体" w:hAnsi="黑体" w:eastAsia="黑体" w:cs="黑体"/>
          <w:sz w:val="32"/>
          <w:szCs w:val="32"/>
          <w:rtl w:val="0"/>
          <w:lang w:val="en-US" w:eastAsia="zh-CN"/>
        </w:rPr>
        <w:t>22</w:t>
      </w:r>
      <w:r>
        <w:rPr>
          <w:rStyle w:val="9"/>
          <w:rFonts w:ascii="黑体" w:hAnsi="黑体" w:eastAsia="黑体" w:cs="黑体"/>
          <w:sz w:val="32"/>
          <w:szCs w:val="32"/>
          <w:rtl w:val="0"/>
        </w:rPr>
        <w:t>年度部门决算表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七、一般公共预算财政拨款“三公”经费支出决算表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八、政府性基金预算财政拨款收入支出决算表</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九、国有资本经营预算财政拨款支出决算表</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9"/>
          <w:rFonts w:ascii="黑体" w:hAnsi="黑体" w:eastAsia="黑体" w:cs="黑体"/>
          <w:sz w:val="32"/>
          <w:szCs w:val="32"/>
          <w:rtl w:val="0"/>
        </w:rPr>
        <w:t>第三部分</w:t>
      </w:r>
      <w:r>
        <w:rPr>
          <w:rStyle w:val="9"/>
          <w:rFonts w:ascii="黑体" w:hAnsi="黑体" w:eastAsia="黑体" w:cs="黑体"/>
          <w:sz w:val="32"/>
          <w:szCs w:val="32"/>
          <w:rtl w:val="0"/>
          <w:lang w:val="en-US" w:eastAsia="en-US"/>
        </w:rPr>
        <w:t xml:space="preserve">  </w:t>
      </w:r>
      <w:r>
        <w:rPr>
          <w:rStyle w:val="9"/>
          <w:rFonts w:hint="eastAsia" w:ascii="黑体" w:hAnsi="黑体" w:eastAsia="黑体" w:cs="黑体"/>
          <w:sz w:val="32"/>
          <w:szCs w:val="32"/>
          <w:rtl w:val="0"/>
          <w:lang w:val="en-US" w:eastAsia="zh-CN"/>
        </w:rPr>
        <w:t>通山县慈口乡中心小学</w:t>
      </w:r>
      <w:r>
        <w:rPr>
          <w:rStyle w:val="9"/>
          <w:rFonts w:ascii="黑体" w:hAnsi="黑体" w:eastAsia="黑体" w:cs="黑体"/>
          <w:sz w:val="32"/>
          <w:szCs w:val="32"/>
          <w:rtl w:val="0"/>
          <w:lang w:val="en-US" w:eastAsia="en-US"/>
        </w:rPr>
        <w:t>20</w:t>
      </w:r>
      <w:r>
        <w:rPr>
          <w:rStyle w:val="9"/>
          <w:rFonts w:hint="eastAsia" w:ascii="黑体" w:hAnsi="黑体" w:eastAsia="黑体" w:cs="黑体"/>
          <w:sz w:val="32"/>
          <w:szCs w:val="32"/>
          <w:rtl w:val="0"/>
          <w:lang w:val="en-US" w:eastAsia="zh-CN"/>
        </w:rPr>
        <w:t>22</w:t>
      </w:r>
      <w:r>
        <w:rPr>
          <w:rStyle w:val="9"/>
          <w:rFonts w:ascii="黑体" w:hAnsi="黑体" w:eastAsia="黑体" w:cs="黑体"/>
          <w:sz w:val="32"/>
          <w:szCs w:val="32"/>
          <w:rtl w:val="0"/>
        </w:rPr>
        <w:t>年度部门决算情况说明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一、收入支出决算总体情况说明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五、一般公共预算财政拨款支出决算情况说明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六、一般公共预算财政拨款基本支出决算情况说明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 xml:space="preserve">七、财政拨款“三公”经费支出决算情况说明 </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八、政府性基金预算财政拨款收入支出决算情况说明 </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九、国有资本经营预算财政拨款支出决算情况说明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十、机关运行经费支出说明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十一、政府采购支出说明</w:t>
      </w:r>
    </w:p>
    <w:p>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十二、国有资产占用情况说明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十三、预算绩效情况说明</w:t>
      </w:r>
    </w:p>
    <w:p>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十四、专项支出、转移支付支出情况说明</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9"/>
          <w:rFonts w:ascii="黑体" w:hAnsi="黑体" w:eastAsia="黑体" w:cs="黑体"/>
          <w:sz w:val="32"/>
          <w:szCs w:val="32"/>
          <w:rtl w:val="0"/>
        </w:rPr>
        <w:t>第四部分</w:t>
      </w:r>
      <w:r>
        <w:rPr>
          <w:rStyle w:val="9"/>
          <w:rFonts w:ascii="黑体" w:hAnsi="黑体" w:eastAsia="黑体" w:cs="黑体"/>
          <w:sz w:val="32"/>
          <w:szCs w:val="32"/>
          <w:rtl w:val="0"/>
          <w:lang w:val="en-US" w:eastAsia="en-US"/>
        </w:rPr>
        <w:t xml:space="preserve">  </w:t>
      </w:r>
      <w:r>
        <w:rPr>
          <w:rFonts w:hint="eastAsia" w:ascii="黑体" w:hAnsi="黑体" w:eastAsia="黑体" w:cs="黑体"/>
          <w:sz w:val="32"/>
          <w:szCs w:val="32"/>
          <w:lang w:val="en-US" w:eastAsia="zh-CN"/>
        </w:rPr>
        <w:t>其他需要说明的情况</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Style w:val="9"/>
          <w:rFonts w:ascii="黑体" w:hAnsi="黑体" w:eastAsia="黑体" w:cs="黑体"/>
          <w:sz w:val="32"/>
          <w:szCs w:val="32"/>
          <w:rtl w:val="0"/>
        </w:rPr>
      </w:pPr>
      <w:r>
        <w:rPr>
          <w:rStyle w:val="9"/>
          <w:rFonts w:ascii="黑体" w:hAnsi="黑体" w:eastAsia="黑体" w:cs="黑体"/>
          <w:sz w:val="32"/>
          <w:szCs w:val="32"/>
          <w:rtl w:val="0"/>
        </w:rPr>
        <w:t>第五部分</w:t>
      </w:r>
      <w:r>
        <w:rPr>
          <w:rStyle w:val="9"/>
          <w:rFonts w:ascii="黑体" w:hAnsi="黑体" w:eastAsia="黑体" w:cs="黑体"/>
          <w:sz w:val="32"/>
          <w:szCs w:val="32"/>
          <w:rtl w:val="0"/>
          <w:lang w:val="en-US" w:eastAsia="en-US"/>
        </w:rPr>
        <w:t xml:space="preserve">  </w:t>
      </w:r>
      <w:r>
        <w:rPr>
          <w:rStyle w:val="9"/>
          <w:rFonts w:ascii="黑体" w:hAnsi="黑体" w:eastAsia="黑体" w:cs="黑体"/>
          <w:sz w:val="32"/>
          <w:szCs w:val="32"/>
          <w:rtl w:val="0"/>
        </w:rPr>
        <w:t>名词解释</w:t>
      </w:r>
    </w:p>
    <w:p>
      <w:pPr>
        <w:pStyle w:val="1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第六部分  附件</w:t>
      </w:r>
    </w:p>
    <w:p>
      <w:pPr>
        <w:numPr>
          <w:ilvl w:val="0"/>
          <w:numId w:val="0"/>
        </w:numPr>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u w:val="none"/>
          <w:lang w:val="en-US" w:eastAsia="zh-CN"/>
        </w:rPr>
      </w:pPr>
    </w:p>
    <w:p>
      <w:pPr>
        <w:numPr>
          <w:ilvl w:val="0"/>
          <w:numId w:val="0"/>
        </w:numPr>
        <w:jc w:val="both"/>
        <w:rPr>
          <w:rFonts w:hint="eastAsia" w:ascii="黑体" w:hAnsi="黑体" w:eastAsia="黑体" w:cs="黑体"/>
          <w:sz w:val="32"/>
          <w:szCs w:val="32"/>
          <w:u w:val="none"/>
          <w:lang w:val="en-US" w:eastAsia="zh-CN"/>
        </w:rPr>
      </w:pP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 xml:space="preserve">第一部分  </w:t>
      </w:r>
      <w:r>
        <w:rPr>
          <w:rStyle w:val="9"/>
          <w:rFonts w:hint="eastAsia" w:ascii="黑体" w:hAnsi="黑体" w:eastAsia="黑体" w:cs="黑体"/>
          <w:sz w:val="32"/>
          <w:szCs w:val="32"/>
          <w:rtl w:val="0"/>
          <w:lang w:val="en-US" w:eastAsia="zh-CN"/>
        </w:rPr>
        <w:t>通山县慈口乡中心小学</w:t>
      </w:r>
      <w:r>
        <w:rPr>
          <w:rFonts w:hint="eastAsia" w:ascii="黑体" w:hAnsi="黑体" w:eastAsia="黑体" w:cs="黑体"/>
          <w:sz w:val="32"/>
          <w:szCs w:val="32"/>
          <w:lang w:val="en-US" w:eastAsia="zh-CN"/>
        </w:rPr>
        <w:t>概况</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一、部门主要职责</w:t>
      </w:r>
    </w:p>
    <w:p>
      <w:pPr>
        <w:keepNext w:val="0"/>
        <w:keepLines w:val="0"/>
        <w:pageBreakBefore w:val="0"/>
        <w:widowControl w:val="0"/>
        <w:kinsoku/>
        <w:wordWrap/>
        <w:overflowPunct/>
        <w:topLinePunct w:val="0"/>
        <w:autoSpaceDE/>
        <w:autoSpaceDN/>
        <w:bidi w:val="0"/>
        <w:spacing w:line="240" w:lineRule="auto"/>
        <w:ind w:firstLine="729" w:firstLineChars="228"/>
        <w:textAlignment w:val="auto"/>
        <w:rPr>
          <w:rFonts w:hint="eastAsia" w:ascii="仿宋" w:hAnsi="仿宋" w:eastAsia="仿宋" w:cs="仿宋"/>
          <w:sz w:val="32"/>
          <w:szCs w:val="32"/>
        </w:rPr>
      </w:pPr>
      <w:r>
        <w:rPr>
          <w:rFonts w:hint="eastAsia" w:ascii="仿宋" w:hAnsi="仿宋" w:eastAsia="仿宋" w:cs="仿宋"/>
          <w:sz w:val="32"/>
          <w:szCs w:val="32"/>
        </w:rPr>
        <w:t>(一)贯彻落实党的教育方针政策和国家法律法规，研究制订全</w:t>
      </w:r>
      <w:r>
        <w:rPr>
          <w:rFonts w:hint="eastAsia" w:ascii="仿宋" w:hAnsi="仿宋" w:eastAsia="仿宋" w:cs="仿宋"/>
          <w:sz w:val="32"/>
          <w:szCs w:val="32"/>
          <w:lang w:val="en-US" w:eastAsia="zh-CN"/>
        </w:rPr>
        <w:t>校</w:t>
      </w:r>
      <w:r>
        <w:rPr>
          <w:rFonts w:hint="eastAsia" w:ascii="仿宋" w:hAnsi="仿宋" w:eastAsia="仿宋" w:cs="仿宋"/>
          <w:sz w:val="32"/>
          <w:szCs w:val="32"/>
        </w:rPr>
        <w:t>教育工作的指导思想</w:t>
      </w:r>
      <w:r>
        <w:rPr>
          <w:rFonts w:hint="eastAsia" w:ascii="仿宋" w:hAnsi="仿宋" w:eastAsia="仿宋" w:cs="仿宋"/>
          <w:sz w:val="32"/>
          <w:szCs w:val="32"/>
          <w:lang w:eastAsia="zh-CN"/>
        </w:rPr>
        <w:t>、</w:t>
      </w:r>
      <w:r>
        <w:rPr>
          <w:rFonts w:hint="eastAsia" w:ascii="仿宋" w:hAnsi="仿宋" w:eastAsia="仿宋" w:cs="仿宋"/>
          <w:sz w:val="32"/>
          <w:szCs w:val="32"/>
        </w:rPr>
        <w:t>政策措施、重要规章制度并监督实施。</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(二)负责全校的统筹规划和协调管理;指导协调全校的教育、教学改革。</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(三)研究、编制全</w:t>
      </w:r>
      <w:r>
        <w:rPr>
          <w:rFonts w:hint="eastAsia" w:ascii="仿宋" w:hAnsi="仿宋" w:eastAsia="仿宋" w:cs="仿宋"/>
          <w:sz w:val="32"/>
          <w:szCs w:val="32"/>
          <w:lang w:val="en-US" w:eastAsia="zh-CN"/>
        </w:rPr>
        <w:t>校</w:t>
      </w:r>
      <w:r>
        <w:rPr>
          <w:rFonts w:hint="eastAsia" w:ascii="仿宋" w:hAnsi="仿宋" w:eastAsia="仿宋" w:cs="仿宋"/>
          <w:sz w:val="32"/>
          <w:szCs w:val="32"/>
        </w:rPr>
        <w:t>教育事业的发展规划，拟定教育事业的发展重点、速度、规模和步骤，指导、协调、监督教育规划和计划的实施。</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(四)负责推进义务教育优质均衡发展和促进教育公平，负责义务教育的宏观指导与协调;督促检查全校的办学标准、教学基本要求、教学基本文件的落实情况。</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(五)指导和管理全校的德育、体育、卫生、艺术和国防教育工作，加强学校的思想政治工作,指导学校治安保卫、安全生产、档案和保密工作。</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(六)会同有关部门制订筹措教育经费、教育预决算标准的政策和办法，负贵本部门教育经费的统筹管理和内部审计;</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(七)负责全</w:t>
      </w:r>
      <w:r>
        <w:rPr>
          <w:rFonts w:hint="eastAsia" w:ascii="仿宋" w:hAnsi="仿宋" w:eastAsia="仿宋" w:cs="仿宋"/>
          <w:sz w:val="32"/>
          <w:szCs w:val="32"/>
          <w:lang w:val="en-US" w:eastAsia="zh-CN"/>
        </w:rPr>
        <w:t>校</w:t>
      </w:r>
      <w:r>
        <w:rPr>
          <w:rFonts w:hint="eastAsia" w:ascii="仿宋" w:hAnsi="仿宋" w:eastAsia="仿宋" w:cs="仿宋"/>
          <w:sz w:val="32"/>
          <w:szCs w:val="32"/>
        </w:rPr>
        <w:t>教育基本建设投资计划，学校的校园绿化、校舍建设、危房改造等专项管理工作。</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八)会同有关部门制订教育系统人事管理、劳动工资的有关规定，指导学校内部管理体制改革，统筹规划和指导全校教师队伍和行政干部队伍建设及中小学特级教师评选工作，会同有关部门做好教师及其他有关事业技术人员专业技术职务评聘和教育系统奖励考评工作。</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(九)负责统筹和指导校长、教师培训工作，组织、指导教师资格证制度的实施工作，归口管理全</w:t>
      </w:r>
      <w:r>
        <w:rPr>
          <w:rFonts w:hint="eastAsia" w:ascii="仿宋" w:hAnsi="仿宋" w:eastAsia="仿宋" w:cs="仿宋"/>
          <w:sz w:val="32"/>
          <w:szCs w:val="32"/>
          <w:lang w:val="en-US" w:eastAsia="zh-CN"/>
        </w:rPr>
        <w:t>校</w:t>
      </w:r>
      <w:r>
        <w:rPr>
          <w:rFonts w:hint="eastAsia" w:ascii="仿宋" w:hAnsi="仿宋" w:eastAsia="仿宋" w:cs="仿宋"/>
          <w:sz w:val="32"/>
          <w:szCs w:val="32"/>
        </w:rPr>
        <w:t>学历教育及考试工作。</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(十)指导、协调全校的后勤工作、电化教育、信息化建设以及教学仪器设备和图书资料的装备工作;负责全</w:t>
      </w:r>
      <w:r>
        <w:rPr>
          <w:rFonts w:hint="eastAsia" w:ascii="仿宋" w:hAnsi="仿宋" w:eastAsia="仿宋" w:cs="仿宋"/>
          <w:sz w:val="32"/>
          <w:szCs w:val="32"/>
          <w:lang w:val="en-US" w:eastAsia="zh-CN"/>
        </w:rPr>
        <w:t>校</w:t>
      </w:r>
      <w:r>
        <w:rPr>
          <w:rFonts w:hint="eastAsia" w:ascii="仿宋" w:hAnsi="仿宋" w:eastAsia="仿宋" w:cs="仿宋"/>
          <w:sz w:val="32"/>
          <w:szCs w:val="32"/>
        </w:rPr>
        <w:t>教育基本信息统计、分析、发布。</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)承担教育督导的日常管理工作，指导有关的教育学会、协会、基金会的工作。</w:t>
      </w:r>
    </w:p>
    <w:p>
      <w:pPr>
        <w:keepNext w:val="0"/>
        <w:keepLines w:val="0"/>
        <w:pageBreakBefore w:val="0"/>
        <w:widowControl w:val="0"/>
        <w:kinsoku/>
        <w:wordWrap/>
        <w:overflowPunct/>
        <w:topLinePunct w:val="0"/>
        <w:autoSpaceDE/>
        <w:autoSpaceDN/>
        <w:bidi w:val="0"/>
        <w:spacing w:line="240" w:lineRule="auto"/>
        <w:ind w:firstLine="707" w:firstLineChars="221"/>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)贯彻执行国家语言文字工作的方针政策;编制县语言文字工作中长期规划;组织协调对语言文字规范和标准监督检查;指导推广普通话工作、普通话师资培训和测试工作。</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)承办上级交办的其他事项。</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从单位构成看，通山县慈口乡中心小学部门决算由实行独立核算的通山县慈口乡中心小学本级决算和</w:t>
      </w:r>
      <w:r>
        <w:rPr>
          <w:rFonts w:hint="eastAsia" w:ascii="仿宋_GB2312" w:hAnsi="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lang w:val="en-US" w:eastAsia="zh-CN"/>
        </w:rPr>
        <w:t>个下属单位决算组成。</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纳入通山县慈口乡中心小学</w:t>
      </w:r>
      <w:r>
        <w:rPr>
          <w:rFonts w:hint="eastAsia" w:ascii="仿宋_GB2312" w:hAnsi="仿宋_GB2312" w:cs="仿宋_GB2312"/>
          <w:sz w:val="32"/>
          <w:szCs w:val="32"/>
          <w:lang w:val="en-US" w:eastAsia="zh-CN"/>
        </w:rPr>
        <w:t>2022年</w:t>
      </w:r>
      <w:r>
        <w:rPr>
          <w:rFonts w:hint="eastAsia" w:ascii="仿宋_GB2312" w:hAnsi="仿宋_GB2312" w:eastAsia="仿宋_GB2312" w:cs="仿宋_GB2312"/>
          <w:sz w:val="32"/>
          <w:szCs w:val="32"/>
          <w:lang w:val="en-US" w:eastAsia="zh-CN"/>
        </w:rPr>
        <w:t>度部门决算编制范围的二级预算单位包括：</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1.通山县慈口乡中心小学（本级）</w:t>
      </w:r>
    </w:p>
    <w:p>
      <w:pPr>
        <w:ind w:firstLine="640"/>
        <w:jc w:val="both"/>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通山县慈口乡石印小学</w:t>
      </w:r>
    </w:p>
    <w:p>
      <w:pPr>
        <w:ind w:firstLine="64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3.通山县慈口乡下泉小学</w:t>
      </w:r>
    </w:p>
    <w:p>
      <w:pPr>
        <w:ind w:firstLine="64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4.通山县慈口乡老屋小学</w:t>
      </w:r>
    </w:p>
    <w:p>
      <w:pPr>
        <w:ind w:firstLine="64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5.通山县慈口乡乌岩小学</w:t>
      </w:r>
    </w:p>
    <w:p>
      <w:pPr>
        <w:ind w:firstLine="640"/>
        <w:jc w:val="both"/>
        <w:rPr>
          <w:rFonts w:hint="eastAsia" w:ascii="仿宋_GB2312" w:hAnsi="仿宋_GB2312" w:cs="仿宋_GB2312"/>
          <w:sz w:val="32"/>
          <w:szCs w:val="32"/>
          <w:lang w:val="en-US" w:eastAsia="zh-CN"/>
        </w:rPr>
      </w:pPr>
    </w:p>
    <w:p>
      <w:pPr>
        <w:ind w:firstLine="640"/>
        <w:jc w:val="both"/>
        <w:rPr>
          <w:rFonts w:hint="eastAsia" w:ascii="仿宋_GB2312" w:hAnsi="仿宋_GB2312" w:cs="仿宋_GB2312"/>
          <w:sz w:val="32"/>
          <w:szCs w:val="32"/>
          <w:lang w:val="en-US" w:eastAsia="zh-CN"/>
        </w:rPr>
      </w:pPr>
    </w:p>
    <w:p>
      <w:pPr>
        <w:ind w:firstLine="640"/>
        <w:jc w:val="both"/>
        <w:rPr>
          <w:rFonts w:hint="eastAsia" w:ascii="仿宋_GB2312" w:hAnsi="仿宋_GB2312" w:cs="仿宋_GB2312"/>
          <w:sz w:val="32"/>
          <w:szCs w:val="32"/>
          <w:lang w:val="en-US" w:eastAsia="zh-CN"/>
        </w:rPr>
      </w:pPr>
    </w:p>
    <w:p>
      <w:pPr>
        <w:ind w:firstLine="640"/>
        <w:jc w:val="both"/>
        <w:rPr>
          <w:rFonts w:hint="eastAsia" w:ascii="仿宋_GB2312" w:hAnsi="仿宋_GB2312" w:cs="仿宋_GB2312"/>
          <w:sz w:val="32"/>
          <w:szCs w:val="32"/>
          <w:lang w:val="en-US" w:eastAsia="zh-CN"/>
        </w:rPr>
      </w:pPr>
    </w:p>
    <w:p>
      <w:pPr>
        <w:ind w:firstLine="640"/>
        <w:jc w:val="both"/>
        <w:rPr>
          <w:rFonts w:hint="eastAsia" w:ascii="仿宋_GB2312" w:hAnsi="仿宋_GB2312" w:cs="仿宋_GB2312"/>
          <w:sz w:val="32"/>
          <w:szCs w:val="32"/>
          <w:lang w:val="en-US" w:eastAsia="zh-CN"/>
        </w:rPr>
      </w:pPr>
    </w:p>
    <w:p>
      <w:pPr>
        <w:ind w:firstLine="640"/>
        <w:jc w:val="both"/>
        <w:rPr>
          <w:rFonts w:hint="eastAsia" w:ascii="仿宋_GB2312" w:hAnsi="仿宋_GB2312" w:cs="仿宋_GB2312"/>
          <w:sz w:val="32"/>
          <w:szCs w:val="32"/>
          <w:lang w:val="en-US" w:eastAsia="zh-CN"/>
        </w:rPr>
      </w:pPr>
    </w:p>
    <w:p>
      <w:pPr>
        <w:ind w:firstLine="640"/>
        <w:jc w:val="both"/>
        <w:rPr>
          <w:rFonts w:hint="eastAsia" w:ascii="仿宋_GB2312" w:hAnsi="仿宋_GB2312" w:cs="仿宋_GB2312"/>
          <w:sz w:val="32"/>
          <w:szCs w:val="32"/>
          <w:lang w:val="en-US" w:eastAsia="zh-CN"/>
        </w:rPr>
      </w:pPr>
    </w:p>
    <w:p>
      <w:pPr>
        <w:ind w:firstLine="64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第二部分  2022年度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p>
    <w:p>
      <w:pPr>
        <w:adjustRightInd w:val="0"/>
        <w:snapToGrid w:val="0"/>
        <w:spacing w:line="580" w:lineRule="atLeast"/>
        <w:ind w:right="-781" w:rightChars="-244"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一、收入支出决算总表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95"/>
        <w:gridCol w:w="875"/>
        <w:gridCol w:w="1171"/>
        <w:gridCol w:w="4702"/>
        <w:gridCol w:w="875"/>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8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8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2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81"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618"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891.16</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9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3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8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891.16</w:t>
            </w:r>
          </w:p>
        </w:tc>
        <w:tc>
          <w:tcPr>
            <w:tcW w:w="159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二、收入决算表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3"/>
        <w:gridCol w:w="222"/>
        <w:gridCol w:w="240"/>
        <w:gridCol w:w="4048"/>
        <w:gridCol w:w="967"/>
        <w:gridCol w:w="1076"/>
        <w:gridCol w:w="849"/>
        <w:gridCol w:w="849"/>
        <w:gridCol w:w="849"/>
        <w:gridCol w:w="849"/>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8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611"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36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8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8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8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8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4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6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611"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11"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891.16</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881.56</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4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三、支出决算表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3956"/>
        <w:gridCol w:w="1257"/>
        <w:gridCol w:w="1257"/>
        <w:gridCol w:w="1008"/>
        <w:gridCol w:w="1008"/>
        <w:gridCol w:w="100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2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2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2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5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6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6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6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2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2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891.16</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891.16</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750.35</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5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0"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5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四、财政拨款收入支出决算总表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7"/>
        <w:gridCol w:w="534"/>
        <w:gridCol w:w="1351"/>
        <w:gridCol w:w="3786"/>
        <w:gridCol w:w="534"/>
        <w:gridCol w:w="926"/>
        <w:gridCol w:w="1348"/>
        <w:gridCol w:w="124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6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1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787"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12"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2" w:hRule="atLeast"/>
        </w:trPr>
        <w:tc>
          <w:tcPr>
            <w:tcW w:w="116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6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0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1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60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116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0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1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12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881.56</w:t>
            </w:r>
          </w:p>
        </w:tc>
        <w:tc>
          <w:tcPr>
            <w:tcW w:w="41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397"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02"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五、一般公共预算财政拨款支出决算表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2"/>
        <w:gridCol w:w="281"/>
        <w:gridCol w:w="281"/>
        <w:gridCol w:w="5012"/>
        <w:gridCol w:w="1381"/>
        <w:gridCol w:w="1381"/>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7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7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26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7"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0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6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6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26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6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881.56</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881.56</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740.75</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66.83</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80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6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9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0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六、一般公共预算财政拨款基本支出决算</w:t>
      </w:r>
      <w:r>
        <w:rPr>
          <w:rFonts w:hint="eastAsia" w:ascii="黑体" w:hAnsi="黑体" w:eastAsia="黑体" w:cs="黑体"/>
          <w:bCs/>
          <w:sz w:val="32"/>
          <w:szCs w:val="32"/>
          <w:highlight w:val="none"/>
          <w:lang w:eastAsia="zh-CN"/>
        </w:rPr>
        <w:t>明细</w:t>
      </w:r>
      <w:r>
        <w:rPr>
          <w:rFonts w:hint="eastAsia" w:ascii="黑体" w:hAnsi="黑体" w:eastAsia="黑体" w:cs="黑体"/>
          <w:bCs/>
          <w:sz w:val="32"/>
          <w:szCs w:val="32"/>
          <w:highlight w:val="none"/>
        </w:rPr>
        <w:t>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4"/>
        <w:gridCol w:w="2259"/>
        <w:gridCol w:w="1005"/>
        <w:gridCol w:w="947"/>
        <w:gridCol w:w="1955"/>
        <w:gridCol w:w="1073"/>
        <w:gridCol w:w="1110"/>
        <w:gridCol w:w="2820"/>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7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7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7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5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77"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022"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6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6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3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6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751.65</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70.55</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204.45</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171.33</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94.43</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50.52</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59.36</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43.98</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9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76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95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6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37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953"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37"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811.01</w:t>
            </w:r>
          </w:p>
        </w:tc>
        <w:tc>
          <w:tcPr>
            <w:tcW w:w="2673"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七、一般公共预算财政拨款“三公”经费支出决算表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170"/>
        <w:gridCol w:w="951"/>
        <w:gridCol w:w="951"/>
        <w:gridCol w:w="951"/>
        <w:gridCol w:w="957"/>
        <w:gridCol w:w="951"/>
        <w:gridCol w:w="1170"/>
        <w:gridCol w:w="951"/>
        <w:gridCol w:w="951"/>
        <w:gridCol w:w="95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949"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94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735"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64"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949"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26"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26"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7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949"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949"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94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p>
    <w:p>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八、政府性基金预算财政拨款收入支出决算表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62"/>
        <w:gridCol w:w="277"/>
        <w:gridCol w:w="284"/>
        <w:gridCol w:w="1384"/>
        <w:gridCol w:w="1337"/>
        <w:gridCol w:w="1337"/>
        <w:gridCol w:w="1337"/>
        <w:gridCol w:w="1337"/>
        <w:gridCol w:w="1337"/>
        <w:gridCol w:w="2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7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7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203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5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56"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0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6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203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03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56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6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6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ind w:firstLine="640"/>
        <w:jc w:val="both"/>
        <w:rPr>
          <w:rFonts w:hint="eastAsia" w:ascii="黑体" w:hAnsi="黑体" w:eastAsia="黑体" w:cs="黑体"/>
          <w:bCs/>
          <w:sz w:val="32"/>
          <w:szCs w:val="32"/>
          <w:highlight w:val="none"/>
          <w:lang w:eastAsia="zh-CN"/>
        </w:rPr>
      </w:pPr>
      <w:r>
        <w:rPr>
          <w:rFonts w:hint="eastAsia" w:ascii="仿宋" w:hAnsi="仿宋" w:eastAsia="仿宋" w:cs="仿宋"/>
          <w:color w:val="000000"/>
          <w:sz w:val="32"/>
          <w:szCs w:val="32"/>
          <w:highlight w:val="none"/>
          <w:u w:val="none"/>
          <w:lang w:val="en-US" w:eastAsia="zh-CN"/>
        </w:rPr>
        <w:t>本单位当年无政府性基金预算财政拨款收入支出。</w:t>
      </w:r>
    </w:p>
    <w:p>
      <w:pPr>
        <w:ind w:firstLine="640"/>
        <w:jc w:val="both"/>
        <w:rPr>
          <w:rFonts w:hint="eastAsia" w:ascii="黑体" w:hAnsi="黑体" w:eastAsia="黑体" w:cs="黑体"/>
          <w:bCs/>
          <w:sz w:val="32"/>
          <w:szCs w:val="32"/>
          <w:highlight w:val="none"/>
          <w:lang w:eastAsia="zh-CN"/>
        </w:rPr>
      </w:pPr>
    </w:p>
    <w:p>
      <w:pPr>
        <w:ind w:firstLine="640"/>
        <w:jc w:val="both"/>
        <w:rPr>
          <w:rFonts w:hint="eastAsia" w:ascii="黑体" w:hAnsi="黑体" w:eastAsia="黑体" w:cs="黑体"/>
          <w:bCs/>
          <w:sz w:val="32"/>
          <w:szCs w:val="32"/>
          <w:highlight w:val="none"/>
          <w:lang w:eastAsia="zh-CN"/>
        </w:rPr>
      </w:pPr>
    </w:p>
    <w:p>
      <w:pPr>
        <w:ind w:firstLine="640"/>
        <w:jc w:val="both"/>
        <w:rPr>
          <w:rFonts w:hint="eastAsia" w:ascii="黑体" w:hAnsi="黑体" w:eastAsia="黑体" w:cs="黑体"/>
          <w:bCs/>
          <w:sz w:val="32"/>
          <w:szCs w:val="32"/>
          <w:highlight w:val="none"/>
          <w:lang w:eastAsia="zh-CN"/>
        </w:rPr>
      </w:pPr>
    </w:p>
    <w:p>
      <w:pPr>
        <w:ind w:firstLine="640"/>
        <w:jc w:val="both"/>
        <w:rPr>
          <w:rFonts w:hint="eastAsia" w:ascii="黑体" w:hAnsi="黑体" w:eastAsia="黑体" w:cs="黑体"/>
          <w:bCs/>
          <w:sz w:val="32"/>
          <w:szCs w:val="32"/>
          <w:highlight w:val="none"/>
          <w:lang w:eastAsia="zh-CN"/>
        </w:rPr>
      </w:pPr>
    </w:p>
    <w:p>
      <w:pPr>
        <w:ind w:firstLine="640"/>
        <w:jc w:val="both"/>
        <w:rPr>
          <w:rFonts w:hint="eastAsia" w:ascii="黑体" w:hAnsi="黑体" w:eastAsia="黑体" w:cs="黑体"/>
          <w:sz w:val="32"/>
          <w:szCs w:val="32"/>
          <w:lang w:val="en-US" w:eastAsia="zh-CN"/>
        </w:rPr>
      </w:pPr>
      <w:r>
        <w:rPr>
          <w:rFonts w:hint="eastAsia" w:ascii="黑体" w:hAnsi="黑体" w:eastAsia="黑体" w:cs="黑体"/>
          <w:bCs/>
          <w:sz w:val="32"/>
          <w:szCs w:val="32"/>
          <w:highlight w:val="none"/>
          <w:lang w:eastAsia="zh-CN"/>
        </w:rPr>
        <w:t>九、</w:t>
      </w:r>
      <w:r>
        <w:rPr>
          <w:rFonts w:hint="eastAsia" w:ascii="黑体" w:hAnsi="黑体" w:eastAsia="黑体" w:cs="黑体"/>
          <w:bCs/>
          <w:sz w:val="32"/>
          <w:szCs w:val="32"/>
          <w:highlight w:val="none"/>
        </w:rPr>
        <w:t>国有资本经营预算财政拨款支出决算表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0"/>
        <w:gridCol w:w="384"/>
        <w:gridCol w:w="384"/>
        <w:gridCol w:w="1901"/>
        <w:gridCol w:w="1834"/>
        <w:gridCol w:w="1834"/>
        <w:gridCol w:w="2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8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88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部门：通山县慈口乡中心完全小学</w:t>
            </w: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9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09"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42"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2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42"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90"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90"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4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4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本单位当年无国有资本经营预算财政拨款支出。</w:t>
      </w: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color w:val="7E7E7E"/>
          <w:sz w:val="32"/>
          <w:szCs w:val="32"/>
          <w:lang w:val="en-US" w:eastAsia="zh-CN"/>
        </w:rPr>
      </w:pP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2022年度部门决算情况说明</w:t>
      </w:r>
    </w:p>
    <w:p>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仿宋_GB2312" w:hAnsi="宋体"/>
          <w:bCs/>
          <w:sz w:val="32"/>
          <w:szCs w:val="32"/>
          <w:highlight w:val="none"/>
          <w:lang w:val="en-US" w:eastAsia="zh-CN"/>
        </w:rPr>
        <w:t>2022年</w:t>
      </w:r>
      <w:r>
        <w:rPr>
          <w:rFonts w:hint="eastAsia" w:ascii="仿宋_GB2312" w:hAnsi="宋体" w:eastAsia="仿宋_GB2312"/>
          <w:bCs/>
          <w:sz w:val="32"/>
          <w:szCs w:val="32"/>
          <w:highlight w:val="none"/>
          <w:lang w:val="en-US" w:eastAsia="zh-CN"/>
        </w:rPr>
        <w:t>度收、支总计</w:t>
      </w:r>
      <w:r>
        <w:rPr>
          <w:rFonts w:hint="eastAsia" w:ascii="仿宋_GB2312" w:hAnsi="宋体"/>
          <w:bCs/>
          <w:sz w:val="32"/>
          <w:szCs w:val="32"/>
          <w:highlight w:val="none"/>
          <w:lang w:val="en-US" w:eastAsia="zh-CN"/>
        </w:rPr>
        <w:t>均为</w:t>
      </w:r>
      <w:r>
        <w:rPr>
          <w:rFonts w:hint="eastAsia" w:ascii="仿宋_GB2312" w:hAnsi="宋体"/>
          <w:bCs/>
          <w:sz w:val="32"/>
          <w:szCs w:val="32"/>
          <w:highlight w:val="none"/>
          <w:u w:val="single"/>
          <w:lang w:val="en-US" w:eastAsia="zh-CN"/>
        </w:rPr>
        <w:t xml:space="preserve"> 891.16</w:t>
      </w:r>
      <w:r>
        <w:rPr>
          <w:rFonts w:hint="eastAsia" w:ascii="仿宋_GB2312" w:hAnsi="宋体" w:eastAsia="仿宋_GB2312"/>
          <w:bCs/>
          <w:sz w:val="32"/>
          <w:szCs w:val="32"/>
          <w:highlight w:val="none"/>
          <w:lang w:val="en-US" w:eastAsia="zh-CN"/>
        </w:rPr>
        <w:t>万元。与</w:t>
      </w:r>
      <w:r>
        <w:rPr>
          <w:rFonts w:hint="eastAsia" w:ascii="仿宋_GB2312" w:hAnsi="宋体"/>
          <w:bCs/>
          <w:sz w:val="32"/>
          <w:szCs w:val="32"/>
          <w:highlight w:val="none"/>
          <w:lang w:val="en-US" w:eastAsia="zh-CN"/>
        </w:rPr>
        <w:t>2021年</w:t>
      </w:r>
      <w:r>
        <w:rPr>
          <w:rFonts w:hint="eastAsia" w:ascii="仿宋_GB2312" w:hAnsi="宋体" w:eastAsia="仿宋_GB2312"/>
          <w:bCs/>
          <w:sz w:val="32"/>
          <w:szCs w:val="32"/>
          <w:highlight w:val="none"/>
          <w:lang w:val="en-US" w:eastAsia="zh-CN"/>
        </w:rPr>
        <w:t>度相比，收、支总计各增加</w:t>
      </w:r>
      <w:r>
        <w:rPr>
          <w:rFonts w:hint="eastAsia" w:ascii="仿宋_GB2312" w:hAnsi="宋体"/>
          <w:bCs/>
          <w:sz w:val="32"/>
          <w:szCs w:val="32"/>
          <w:highlight w:val="none"/>
          <w:u w:val="single"/>
          <w:lang w:val="en-US" w:eastAsia="zh-CN"/>
        </w:rPr>
        <w:t xml:space="preserve"> 134.05 </w:t>
      </w:r>
      <w:r>
        <w:rPr>
          <w:rFonts w:hint="eastAsia" w:ascii="仿宋_GB2312" w:hAnsi="宋体" w:eastAsia="仿宋_GB2312"/>
          <w:bCs/>
          <w:sz w:val="32"/>
          <w:szCs w:val="32"/>
          <w:highlight w:val="none"/>
          <w:lang w:val="en-US" w:eastAsia="zh-CN"/>
        </w:rPr>
        <w:t>万元，增长</w:t>
      </w:r>
      <w:r>
        <w:rPr>
          <w:rFonts w:hint="eastAsia" w:ascii="仿宋_GB2312" w:hAnsi="宋体"/>
          <w:bCs/>
          <w:sz w:val="32"/>
          <w:szCs w:val="32"/>
          <w:highlight w:val="none"/>
          <w:u w:val="single"/>
          <w:lang w:val="en-US" w:eastAsia="zh-CN"/>
        </w:rPr>
        <w:t xml:space="preserve"> 17.71</w:t>
      </w:r>
      <w:r>
        <w:rPr>
          <w:rFonts w:hint="eastAsia" w:ascii="仿宋_GB2312" w:hAnsi="宋体" w:eastAsia="仿宋_GB2312"/>
          <w:bCs/>
          <w:sz w:val="32"/>
          <w:szCs w:val="32"/>
          <w:highlight w:val="none"/>
          <w:lang w:val="en-US" w:eastAsia="zh-CN"/>
        </w:rPr>
        <w:t xml:space="preserve"> %，主要原因是</w:t>
      </w:r>
      <w:r>
        <w:rPr>
          <w:rFonts w:hint="eastAsia" w:ascii="仿宋_GB2312" w:hAnsi="宋体"/>
          <w:bCs/>
          <w:sz w:val="32"/>
          <w:szCs w:val="32"/>
          <w:highlight w:val="none"/>
          <w:lang w:val="en-US" w:eastAsia="zh-CN"/>
        </w:rPr>
        <w:t>2022年按时发放本年度年终绩效奖金并补发2021年度年终绩效奖金，同时工资福利标准有所提高，导致收入支出</w:t>
      </w:r>
      <w:r>
        <w:rPr>
          <w:rFonts w:hint="eastAsia" w:ascii="仿宋_GB2312" w:hAnsi="宋体" w:eastAsia="仿宋_GB2312"/>
          <w:bCs/>
          <w:sz w:val="32"/>
          <w:szCs w:val="32"/>
          <w:highlight w:val="none"/>
          <w:lang w:val="en-US" w:eastAsia="zh-CN"/>
        </w:rPr>
        <w:t>增加。</w:t>
      </w:r>
    </w:p>
    <w:p>
      <w:pPr>
        <w:adjustRightInd w:val="0"/>
        <w:snapToGrid w:val="0"/>
        <w:spacing w:line="580" w:lineRule="atLeast"/>
        <w:ind w:firstLine="600" w:firstLineChars="200"/>
        <w:jc w:val="center"/>
        <w:rPr>
          <w:rFonts w:hint="eastAsia" w:ascii="仿宋_GB2312" w:hAnsi="宋体" w:eastAsia="仿宋_GB2312"/>
          <w:bCs/>
          <w:sz w:val="30"/>
          <w:szCs w:val="30"/>
          <w:highlight w:val="none"/>
          <w:lang w:val="en-US" w:eastAsia="zh-CN"/>
        </w:rPr>
      </w:pPr>
      <w:r>
        <w:rPr>
          <w:rFonts w:hint="eastAsia" w:ascii="仿宋_GB2312" w:hAnsi="宋体" w:eastAsia="仿宋_GB2312"/>
          <w:bCs/>
          <w:sz w:val="30"/>
          <w:szCs w:val="30"/>
          <w:highlight w:val="none"/>
          <w:lang w:val="en-US" w:eastAsia="zh-CN"/>
        </w:rPr>
        <w:t>图1：收、支决算总计变动情况</w:t>
      </w:r>
    </w:p>
    <w:p>
      <w:pPr>
        <w:adjustRightInd w:val="0"/>
        <w:snapToGrid w:val="0"/>
        <w:spacing w:line="580" w:lineRule="atLeast"/>
        <w:jc w:val="center"/>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object>
          <v:shape id="_x0000_i1025" o:spt="75" type="#_x0000_t75" style="height:229.5pt;width:379.5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pPr>
        <w:bidi w:val="0"/>
        <w:rPr>
          <w:rFonts w:hint="eastAsia" w:ascii="仿宋_GB2312" w:hAnsi="宋体"/>
          <w:bCs/>
          <w:szCs w:val="32"/>
          <w:highlight w:val="none"/>
          <w:lang w:val="en-US" w:eastAsia="zh-CN"/>
        </w:rPr>
      </w:pPr>
      <w:r>
        <w:rPr>
          <w:rFonts w:hint="eastAsia" w:ascii="仿宋_GB2312" w:hAnsi="宋体"/>
          <w:bCs/>
          <w:szCs w:val="32"/>
          <w:highlight w:val="none"/>
          <w:lang w:val="en-US" w:eastAsia="zh-CN"/>
        </w:rPr>
        <w:t xml:space="preserve">    2022年度收入合计</w:t>
      </w:r>
      <w:r>
        <w:rPr>
          <w:rFonts w:hint="eastAsia" w:ascii="仿宋_GB2312" w:hAnsi="宋体"/>
          <w:bCs/>
          <w:szCs w:val="32"/>
          <w:highlight w:val="none"/>
          <w:u w:val="single"/>
          <w:lang w:val="en-US" w:eastAsia="zh-CN"/>
        </w:rPr>
        <w:t xml:space="preserve"> 891.16</w:t>
      </w:r>
      <w:r>
        <w:rPr>
          <w:rFonts w:hint="eastAsia" w:ascii="仿宋_GB2312" w:hAnsi="宋体"/>
          <w:bCs/>
          <w:szCs w:val="32"/>
          <w:highlight w:val="none"/>
          <w:lang w:val="en-US" w:eastAsia="zh-CN"/>
        </w:rPr>
        <w:t>万元，与2021年度相比，收入合计增加</w:t>
      </w:r>
      <w:r>
        <w:rPr>
          <w:rFonts w:hint="eastAsia" w:ascii="仿宋_GB2312" w:hAnsi="宋体"/>
          <w:bCs/>
          <w:szCs w:val="32"/>
          <w:highlight w:val="none"/>
          <w:u w:val="single"/>
          <w:lang w:val="en-US" w:eastAsia="zh-CN"/>
        </w:rPr>
        <w:t>134.05</w:t>
      </w:r>
      <w:r>
        <w:rPr>
          <w:rFonts w:hint="eastAsia" w:ascii="仿宋_GB2312" w:hAnsi="宋体"/>
          <w:bCs/>
          <w:szCs w:val="32"/>
          <w:highlight w:val="none"/>
          <w:lang w:val="en-US" w:eastAsia="zh-CN"/>
        </w:rPr>
        <w:t>万元，增长</w:t>
      </w:r>
      <w:r>
        <w:rPr>
          <w:rFonts w:hint="eastAsia" w:ascii="仿宋_GB2312" w:hAnsi="宋体"/>
          <w:bCs/>
          <w:sz w:val="32"/>
          <w:szCs w:val="32"/>
          <w:highlight w:val="none"/>
          <w:u w:val="single"/>
          <w:lang w:val="en-US" w:eastAsia="zh-CN"/>
        </w:rPr>
        <w:t xml:space="preserve">17.71 </w:t>
      </w:r>
      <w:r>
        <w:rPr>
          <w:rFonts w:hint="eastAsia" w:ascii="仿宋_GB2312" w:hAnsi="宋体"/>
          <w:bCs/>
          <w:szCs w:val="32"/>
          <w:highlight w:val="none"/>
          <w:lang w:val="en-US" w:eastAsia="zh-CN"/>
        </w:rPr>
        <w:t>%，主要原因是</w:t>
      </w:r>
      <w:r>
        <w:rPr>
          <w:rFonts w:hint="eastAsia" w:ascii="仿宋_GB2312" w:hAnsi="宋体"/>
          <w:bCs/>
          <w:sz w:val="32"/>
          <w:szCs w:val="32"/>
          <w:highlight w:val="none"/>
          <w:lang w:val="en-US" w:eastAsia="zh-CN"/>
        </w:rPr>
        <w:t>2022年按时发放本年度年终绩效奖金并补发2021年度年终绩效奖金，同时工资福利标准有所提高，导致收入支出</w:t>
      </w:r>
      <w:r>
        <w:rPr>
          <w:rFonts w:hint="eastAsia" w:ascii="仿宋_GB2312" w:hAnsi="宋体" w:eastAsia="仿宋_GB2312"/>
          <w:bCs/>
          <w:sz w:val="32"/>
          <w:szCs w:val="32"/>
          <w:highlight w:val="none"/>
          <w:lang w:val="en-US" w:eastAsia="zh-CN"/>
        </w:rPr>
        <w:t>增加</w:t>
      </w:r>
      <w:r>
        <w:rPr>
          <w:rFonts w:hint="eastAsia" w:ascii="仿宋_GB2312" w:hAnsi="宋体"/>
          <w:bCs/>
          <w:szCs w:val="32"/>
          <w:highlight w:val="none"/>
          <w:lang w:val="en-US" w:eastAsia="zh-CN"/>
        </w:rPr>
        <w:t>。</w:t>
      </w:r>
    </w:p>
    <w:p>
      <w:pPr>
        <w:bidi w:val="0"/>
        <w:rPr>
          <w:rFonts w:hint="eastAsia"/>
          <w:lang w:val="en-US" w:eastAsia="zh-CN"/>
        </w:rPr>
      </w:pPr>
      <w:r>
        <w:rPr>
          <w:rFonts w:hint="eastAsia" w:ascii="仿宋_GB2312" w:hAnsi="宋体"/>
          <w:bCs/>
          <w:szCs w:val="32"/>
          <w:highlight w:val="none"/>
          <w:lang w:val="en-US" w:eastAsia="zh-CN"/>
        </w:rPr>
        <w:t>其中：财政拨款收入</w:t>
      </w:r>
      <w:r>
        <w:rPr>
          <w:rFonts w:hint="eastAsia" w:ascii="仿宋_GB2312" w:hAnsi="宋体"/>
          <w:bCs/>
          <w:szCs w:val="32"/>
          <w:highlight w:val="none"/>
          <w:u w:val="single"/>
          <w:lang w:val="en-US" w:eastAsia="zh-CN"/>
        </w:rPr>
        <w:t xml:space="preserve"> 881.56 </w:t>
      </w:r>
      <w:r>
        <w:rPr>
          <w:rFonts w:hint="eastAsia" w:ascii="仿宋_GB2312" w:hAnsi="宋体"/>
          <w:bCs/>
          <w:szCs w:val="32"/>
          <w:highlight w:val="none"/>
          <w:lang w:val="en-US" w:eastAsia="zh-CN"/>
        </w:rPr>
        <w:t>万元，占本年收入</w:t>
      </w:r>
      <w:r>
        <w:rPr>
          <w:rFonts w:hint="eastAsia" w:ascii="仿宋_GB2312" w:hAnsi="宋体"/>
          <w:bCs/>
          <w:szCs w:val="32"/>
          <w:highlight w:val="none"/>
          <w:u w:val="single"/>
          <w:lang w:val="en-US" w:eastAsia="zh-CN"/>
        </w:rPr>
        <w:t xml:space="preserve"> 98.92 </w:t>
      </w:r>
      <w:r>
        <w:rPr>
          <w:rFonts w:hint="eastAsia" w:ascii="仿宋_GB2312" w:hAnsi="宋体"/>
          <w:bCs/>
          <w:szCs w:val="32"/>
          <w:highlight w:val="none"/>
          <w:lang w:val="en-US" w:eastAsia="zh-CN"/>
        </w:rPr>
        <w:t>%；上级补助收入</w:t>
      </w:r>
      <w:r>
        <w:rPr>
          <w:rFonts w:hint="eastAsia" w:ascii="仿宋_GB2312" w:hAnsi="宋体"/>
          <w:bCs/>
          <w:szCs w:val="32"/>
          <w:highlight w:val="none"/>
          <w:u w:val="single"/>
          <w:lang w:val="en-US" w:eastAsia="zh-CN"/>
        </w:rPr>
        <w:t xml:space="preserve"> 0</w:t>
      </w:r>
      <w:r>
        <w:rPr>
          <w:rFonts w:hint="eastAsia" w:ascii="仿宋_GB2312" w:hAnsi="宋体"/>
          <w:bCs/>
          <w:szCs w:val="32"/>
          <w:highlight w:val="none"/>
          <w:lang w:val="en-US" w:eastAsia="zh-CN"/>
        </w:rPr>
        <w:t>万元，占本年收入</w:t>
      </w:r>
      <w:r>
        <w:rPr>
          <w:rFonts w:hint="eastAsia" w:ascii="仿宋_GB2312" w:hAnsi="宋体"/>
          <w:bCs/>
          <w:szCs w:val="32"/>
          <w:highlight w:val="none"/>
          <w:u w:val="single"/>
          <w:lang w:val="en-US" w:eastAsia="zh-CN"/>
        </w:rPr>
        <w:t xml:space="preserve"> 0 </w:t>
      </w:r>
      <w:r>
        <w:rPr>
          <w:rFonts w:hint="eastAsia" w:ascii="仿宋_GB2312" w:hAnsi="宋体"/>
          <w:bCs/>
          <w:szCs w:val="32"/>
          <w:highlight w:val="none"/>
          <w:lang w:val="en-US" w:eastAsia="zh-CN"/>
        </w:rPr>
        <w:t>%；事业收入</w:t>
      </w:r>
      <w:r>
        <w:rPr>
          <w:rFonts w:hint="eastAsia" w:ascii="仿宋_GB2312" w:hAnsi="宋体"/>
          <w:bCs/>
          <w:szCs w:val="32"/>
          <w:highlight w:val="none"/>
          <w:u w:val="single"/>
          <w:lang w:val="en-US" w:eastAsia="zh-CN"/>
        </w:rPr>
        <w:t xml:space="preserve"> 9.6 </w:t>
      </w:r>
      <w:r>
        <w:rPr>
          <w:rFonts w:hint="eastAsia" w:ascii="仿宋_GB2312" w:hAnsi="宋体"/>
          <w:bCs/>
          <w:szCs w:val="32"/>
          <w:highlight w:val="none"/>
          <w:lang w:val="en-US" w:eastAsia="zh-CN"/>
        </w:rPr>
        <w:t>万元，占本年收入</w:t>
      </w:r>
      <w:r>
        <w:rPr>
          <w:rFonts w:hint="eastAsia" w:ascii="仿宋_GB2312" w:hAnsi="宋体"/>
          <w:bCs/>
          <w:szCs w:val="32"/>
          <w:highlight w:val="none"/>
          <w:u w:val="single"/>
          <w:lang w:val="en-US" w:eastAsia="zh-CN"/>
        </w:rPr>
        <w:t xml:space="preserve"> 1.08 </w:t>
      </w:r>
      <w:r>
        <w:rPr>
          <w:rFonts w:hint="eastAsia" w:ascii="仿宋_GB2312" w:hAnsi="宋体"/>
          <w:bCs/>
          <w:szCs w:val="32"/>
          <w:highlight w:val="none"/>
          <w:lang w:val="en-US" w:eastAsia="zh-CN"/>
        </w:rPr>
        <w:t>%；经营收入</w:t>
      </w:r>
      <w:r>
        <w:rPr>
          <w:rFonts w:hint="eastAsia" w:ascii="仿宋_GB2312" w:hAnsi="宋体"/>
          <w:bCs/>
          <w:szCs w:val="32"/>
          <w:highlight w:val="none"/>
          <w:u w:val="single"/>
          <w:lang w:val="en-US" w:eastAsia="zh-CN"/>
        </w:rPr>
        <w:t xml:space="preserve"> 0 </w:t>
      </w:r>
      <w:r>
        <w:rPr>
          <w:rFonts w:hint="eastAsia" w:ascii="仿宋_GB2312" w:hAnsi="宋体"/>
          <w:bCs/>
          <w:szCs w:val="32"/>
          <w:highlight w:val="none"/>
          <w:lang w:val="en-US" w:eastAsia="zh-CN"/>
        </w:rPr>
        <w:t>万元，占</w:t>
      </w:r>
      <w:r>
        <w:rPr>
          <w:rFonts w:hint="eastAsia"/>
          <w:lang w:val="en-US" w:eastAsia="zh-CN"/>
        </w:rPr>
        <w:t>本年收入</w:t>
      </w:r>
      <w:r>
        <w:rPr>
          <w:rFonts w:hint="eastAsia"/>
          <w:u w:val="single"/>
          <w:lang w:val="en-US" w:eastAsia="zh-CN"/>
        </w:rPr>
        <w:t xml:space="preserve"> 0 </w:t>
      </w:r>
      <w:r>
        <w:rPr>
          <w:rFonts w:hint="eastAsia"/>
          <w:lang w:val="en-US" w:eastAsia="zh-CN"/>
        </w:rPr>
        <w:t>%；附属单位上缴收入</w:t>
      </w:r>
      <w:r>
        <w:rPr>
          <w:rFonts w:hint="eastAsia"/>
          <w:u w:val="single"/>
          <w:lang w:val="en-US" w:eastAsia="zh-CN"/>
        </w:rPr>
        <w:t xml:space="preserve"> 0 </w:t>
      </w:r>
      <w:r>
        <w:rPr>
          <w:rFonts w:hint="eastAsia"/>
          <w:u w:val="none"/>
          <w:lang w:val="en-US" w:eastAsia="zh-CN"/>
        </w:rPr>
        <w:t>万元，</w:t>
      </w:r>
      <w:r>
        <w:rPr>
          <w:rFonts w:hint="eastAsia" w:ascii="仿宋_GB2312" w:hAnsi="宋体"/>
          <w:bCs/>
          <w:szCs w:val="32"/>
          <w:highlight w:val="none"/>
          <w:lang w:val="en-US" w:eastAsia="zh-CN"/>
        </w:rPr>
        <w:t>占</w:t>
      </w:r>
      <w:r>
        <w:rPr>
          <w:rFonts w:hint="eastAsia"/>
          <w:lang w:val="en-US" w:eastAsia="zh-CN"/>
        </w:rPr>
        <w:t>本年收入</w:t>
      </w:r>
      <w:r>
        <w:rPr>
          <w:rFonts w:hint="eastAsia"/>
          <w:u w:val="single"/>
          <w:lang w:val="en-US" w:eastAsia="zh-CN"/>
        </w:rPr>
        <w:t xml:space="preserve"> 0 </w:t>
      </w:r>
      <w:r>
        <w:rPr>
          <w:rFonts w:hint="eastAsia"/>
          <w:lang w:val="en-US" w:eastAsia="zh-CN"/>
        </w:rPr>
        <w:t>%；其他收入</w:t>
      </w:r>
      <w:r>
        <w:rPr>
          <w:rFonts w:hint="eastAsia"/>
          <w:u w:val="single"/>
          <w:lang w:val="en-US" w:eastAsia="zh-CN"/>
        </w:rPr>
        <w:t xml:space="preserve"> 0 </w:t>
      </w:r>
      <w:r>
        <w:rPr>
          <w:rFonts w:hint="eastAsia"/>
          <w:lang w:val="en-US" w:eastAsia="zh-CN"/>
        </w:rPr>
        <w:t>万元，占本年收入</w:t>
      </w:r>
      <w:r>
        <w:rPr>
          <w:rFonts w:hint="eastAsia"/>
          <w:u w:val="single"/>
          <w:lang w:val="en-US" w:eastAsia="zh-CN"/>
        </w:rPr>
        <w:t xml:space="preserve"> 0 </w:t>
      </w:r>
      <w:r>
        <w:rPr>
          <w:rFonts w:hint="eastAsia"/>
          <w:lang w:val="en-US" w:eastAsia="zh-CN"/>
        </w:rPr>
        <w:t>%。本部门核算使用的预算收入类科目包括一般公共预算财政拨款收入和事业收入。</w:t>
      </w:r>
    </w:p>
    <w:p>
      <w:pPr>
        <w:bidi w:val="0"/>
        <w:jc w:val="both"/>
        <w:rPr>
          <w:rFonts w:hint="eastAsia" w:ascii="仿宋_GB2312" w:hAnsi="仿宋_GB2312" w:eastAsia="仿宋_GB2312" w:cs="仿宋_GB2312"/>
          <w:sz w:val="30"/>
          <w:szCs w:val="30"/>
          <w:lang w:val="en-US" w:eastAsia="zh-CN"/>
        </w:rPr>
      </w:pPr>
    </w:p>
    <w:p>
      <w:pPr>
        <w:bidi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图2：收入决算结构</w:t>
      </w:r>
    </w:p>
    <w:p>
      <w:pPr>
        <w:bidi w:val="0"/>
        <w:jc w:val="center"/>
        <w:rPr>
          <w:rFonts w:hint="default"/>
          <w:lang w:val="en-US" w:eastAsia="zh-CN"/>
        </w:rPr>
      </w:pPr>
      <w:r>
        <w:rPr>
          <w:rFonts w:hint="default"/>
          <w:lang w:val="en-US" w:eastAsia="zh-CN"/>
        </w:rPr>
        <w:object>
          <v:shape id="_x0000_i1026" o:spt="75" type="#_x0000_t75" style="height:188.8pt;width:422.15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pPr>
        <w:bidi w:val="0"/>
        <w:ind w:firstLine="640" w:firstLineChars="20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ind w:firstLine="640" w:firstLineChars="200"/>
        <w:rPr>
          <w:rFonts w:hint="eastAsia" w:ascii="黑体" w:hAnsi="黑体" w:eastAsia="黑体" w:cs="黑体"/>
        </w:rPr>
      </w:pPr>
      <w:r>
        <w:rPr>
          <w:rFonts w:hint="eastAsia" w:ascii="黑体" w:hAnsi="黑体" w:eastAsia="黑体" w:cs="黑体"/>
          <w:lang w:val="en-US" w:eastAsia="zh-CN"/>
        </w:rPr>
        <w:t>三、支出决算情况说明</w:t>
      </w:r>
    </w:p>
    <w:p>
      <w:pPr>
        <w:bidi w:val="0"/>
        <w:ind w:firstLine="640" w:firstLineChars="200"/>
        <w:rPr>
          <w:rFonts w:hint="eastAsia"/>
          <w:lang w:val="en-US" w:eastAsia="zh-CN"/>
        </w:rPr>
      </w:pPr>
      <w:r>
        <w:rPr>
          <w:rFonts w:hint="eastAsia"/>
          <w:lang w:eastAsia="zh-CN"/>
        </w:rPr>
        <w:t>202</w:t>
      </w:r>
      <w:r>
        <w:rPr>
          <w:rFonts w:hint="eastAsia"/>
          <w:lang w:val="en-US" w:eastAsia="zh-CN"/>
        </w:rPr>
        <w:t>2</w:t>
      </w:r>
      <w:r>
        <w:rPr>
          <w:rFonts w:hint="eastAsia"/>
          <w:lang w:eastAsia="zh-CN"/>
        </w:rPr>
        <w:t>年</w:t>
      </w:r>
      <w:r>
        <w:rPr>
          <w:rFonts w:hint="eastAsia"/>
        </w:rPr>
        <w:t>度支出合计</w:t>
      </w:r>
      <w:r>
        <w:rPr>
          <w:rFonts w:hint="eastAsia"/>
          <w:u w:val="single"/>
          <w:lang w:val="en-US" w:eastAsia="zh-CN"/>
        </w:rPr>
        <w:t xml:space="preserve"> 891.16 </w:t>
      </w:r>
      <w:r>
        <w:rPr>
          <w:rFonts w:hint="eastAsia"/>
        </w:rPr>
        <w:t>万元</w:t>
      </w:r>
      <w:r>
        <w:rPr>
          <w:rFonts w:hint="eastAsia"/>
          <w:lang w:eastAsia="zh-CN"/>
        </w:rPr>
        <w:t>，</w:t>
      </w:r>
      <w:r>
        <w:rPr>
          <w:rFonts w:hint="eastAsia"/>
          <w:lang w:val="en-US" w:eastAsia="zh-CN"/>
        </w:rPr>
        <w:t>与2021年度相比，支出合计增加</w:t>
      </w:r>
      <w:r>
        <w:rPr>
          <w:rFonts w:hint="eastAsia"/>
          <w:u w:val="single"/>
          <w:lang w:val="en-US" w:eastAsia="zh-CN"/>
        </w:rPr>
        <w:t xml:space="preserve"> 134.05</w:t>
      </w:r>
      <w:r>
        <w:rPr>
          <w:rFonts w:hint="eastAsia"/>
          <w:lang w:val="en-US" w:eastAsia="zh-CN"/>
        </w:rPr>
        <w:t>万元，增长</w:t>
      </w:r>
      <w:r>
        <w:rPr>
          <w:rFonts w:hint="eastAsia"/>
          <w:u w:val="single"/>
          <w:lang w:val="en-US" w:eastAsia="zh-CN"/>
        </w:rPr>
        <w:t xml:space="preserve"> 17.71 </w:t>
      </w:r>
      <w:r>
        <w:rPr>
          <w:rFonts w:hint="eastAsia"/>
          <w:lang w:val="en-US" w:eastAsia="zh-CN"/>
        </w:rPr>
        <w:t>%，主要原因是</w:t>
      </w:r>
      <w:r>
        <w:rPr>
          <w:rFonts w:hint="eastAsia" w:ascii="仿宋_GB2312" w:hAnsi="宋体"/>
          <w:bCs/>
          <w:sz w:val="32"/>
          <w:szCs w:val="32"/>
          <w:highlight w:val="none"/>
          <w:lang w:val="en-US" w:eastAsia="zh-CN"/>
        </w:rPr>
        <w:t>2022年按时发放本年度年终绩效奖金并补发2021年度年终绩效奖金，同时工资福利标准有所提高，导致收入支出</w:t>
      </w:r>
      <w:r>
        <w:rPr>
          <w:rFonts w:hint="eastAsia" w:ascii="仿宋_GB2312" w:hAnsi="宋体" w:eastAsia="仿宋_GB2312"/>
          <w:bCs/>
          <w:sz w:val="32"/>
          <w:szCs w:val="32"/>
          <w:highlight w:val="none"/>
          <w:lang w:val="en-US" w:eastAsia="zh-CN"/>
        </w:rPr>
        <w:t>增加</w:t>
      </w:r>
      <w:r>
        <w:rPr>
          <w:rFonts w:hint="eastAsia"/>
          <w:lang w:val="en-US" w:eastAsia="zh-CN"/>
        </w:rPr>
        <w:t>。</w:t>
      </w:r>
    </w:p>
    <w:p>
      <w:pPr>
        <w:bidi w:val="0"/>
        <w:rPr>
          <w:rFonts w:hint="eastAsia" w:ascii="仿宋_GB2312" w:hAnsi="仿宋_GB2312" w:eastAsia="仿宋_GB2312" w:cs="仿宋_GB2312"/>
          <w:sz w:val="30"/>
          <w:szCs w:val="30"/>
        </w:rPr>
      </w:pPr>
      <w:r>
        <w:rPr>
          <w:rFonts w:hint="eastAsia" w:ascii="仿宋_GB2312" w:eastAsia="仿宋_GB2312"/>
          <w:bCs/>
          <w:kern w:val="44"/>
          <w:szCs w:val="32"/>
          <w:highlight w:val="none"/>
        </w:rPr>
        <w:t>其中：基本支出</w:t>
      </w:r>
      <w:r>
        <w:rPr>
          <w:rFonts w:hint="eastAsia" w:ascii="仿宋_GB2312"/>
          <w:bCs/>
          <w:kern w:val="44"/>
          <w:szCs w:val="32"/>
          <w:highlight w:val="none"/>
          <w:u w:val="single"/>
          <w:lang w:val="en-US" w:eastAsia="zh-CN"/>
        </w:rPr>
        <w:t>891.16</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100</w:t>
      </w:r>
      <w:r>
        <w:rPr>
          <w:rFonts w:hint="eastAsia" w:ascii="仿宋_GB2312" w:eastAsia="仿宋_GB2312"/>
          <w:bCs/>
          <w:kern w:val="44"/>
          <w:szCs w:val="32"/>
          <w:highlight w:val="none"/>
        </w:rPr>
        <w:t>%；项目支出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%；上缴上级支出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u w:val="single"/>
        </w:rPr>
        <w:t xml:space="preserve"> </w:t>
      </w:r>
      <w:r>
        <w:rPr>
          <w:rFonts w:hint="eastAsia" w:ascii="仿宋_GB2312" w:eastAsia="仿宋_GB2312"/>
          <w:bCs/>
          <w:kern w:val="44"/>
          <w:szCs w:val="32"/>
          <w:highlight w:val="none"/>
        </w:rPr>
        <w:t>%；经营支出</w:t>
      </w:r>
      <w:r>
        <w:rPr>
          <w:rFonts w:hint="eastAsia" w:ascii="仿宋_GB2312" w:eastAsia="仿宋_GB2312"/>
          <w:bCs/>
          <w:kern w:val="44"/>
          <w:szCs w:val="32"/>
          <w:highlight w:val="none"/>
          <w:u w:val="single"/>
        </w:rPr>
        <w:t xml:space="preserve"> </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万元，占本年支出</w:t>
      </w:r>
      <w:r>
        <w:rPr>
          <w:rFonts w:hint="eastAsia" w:ascii="仿宋_GB2312" w:eastAsia="仿宋_GB2312"/>
          <w:bCs/>
          <w:kern w:val="44"/>
          <w:szCs w:val="32"/>
          <w:highlight w:val="none"/>
          <w:u w:val="single"/>
        </w:rPr>
        <w:t xml:space="preserve"> </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w:t>
      </w:r>
      <w:r>
        <w:rPr>
          <w:rFonts w:hint="eastAsia" w:ascii="仿宋_GB2312"/>
          <w:bCs/>
          <w:kern w:val="44"/>
          <w:szCs w:val="32"/>
          <w:highlight w:val="none"/>
          <w:lang w:eastAsia="zh-CN"/>
        </w:rPr>
        <w:t>；对附属单位补助支出</w:t>
      </w:r>
      <w:r>
        <w:rPr>
          <w:rFonts w:hint="eastAsia" w:ascii="仿宋_GB2312"/>
          <w:bCs/>
          <w:kern w:val="44"/>
          <w:szCs w:val="32"/>
          <w:highlight w:val="none"/>
          <w:u w:val="single"/>
          <w:lang w:val="en-US" w:eastAsia="zh-CN"/>
        </w:rPr>
        <w:t xml:space="preserve"> 0</w:t>
      </w:r>
      <w:r>
        <w:rPr>
          <w:rFonts w:hint="eastAsia" w:ascii="仿宋_GB2312"/>
          <w:bCs/>
          <w:kern w:val="44"/>
          <w:szCs w:val="32"/>
          <w:highlight w:val="none"/>
          <w:u w:val="none"/>
          <w:lang w:val="en-US" w:eastAsia="zh-CN"/>
        </w:rPr>
        <w:t>万元，</w:t>
      </w:r>
      <w:r>
        <w:rPr>
          <w:rFonts w:hint="eastAsia" w:ascii="仿宋_GB2312" w:eastAsia="仿宋_GB2312"/>
          <w:bCs/>
          <w:kern w:val="44"/>
          <w:szCs w:val="32"/>
          <w:highlight w:val="none"/>
        </w:rPr>
        <w:t>占本年支出</w:t>
      </w:r>
      <w:r>
        <w:rPr>
          <w:rFonts w:hint="eastAsia" w:ascii="仿宋_GB2312" w:eastAsia="仿宋_GB2312"/>
          <w:bCs/>
          <w:kern w:val="44"/>
          <w:szCs w:val="32"/>
          <w:highlight w:val="none"/>
          <w:u w:val="single"/>
        </w:rPr>
        <w:t xml:space="preserve"> </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w:t>
      </w:r>
      <w:r>
        <w:rPr>
          <w:rFonts w:hint="eastAsia"/>
          <w:lang w:val="en-US" w:eastAsia="zh-CN"/>
        </w:rPr>
        <w:t>本部门核算使用的预算支出类科目包括教育支出、社会保障和就业支出、卫生健康支出和住房保障支出。</w:t>
      </w:r>
    </w:p>
    <w:p>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图3：支出决算结构</w:t>
      </w:r>
    </w:p>
    <w:p>
      <w:pPr>
        <w:bidi w:val="0"/>
        <w:jc w:val="center"/>
        <w:rPr>
          <w:rFonts w:hint="eastAsia"/>
          <w:lang w:val="en-US" w:eastAsia="zh-CN"/>
        </w:rPr>
      </w:pPr>
      <w:r>
        <w:rPr>
          <w:rFonts w:hint="eastAsia" w:eastAsia="仿宋_GB2312"/>
          <w:lang w:val="en-US" w:eastAsia="zh-CN"/>
        </w:rPr>
        <w:object>
          <v:shape id="_x0000_i1027" o:spt="75" type="#_x0000_t75" style="height:189.75pt;width:317.15pt;" o:ole="t" filled="f" o:preferrelative="t" stroked="f" coordsize="21600,21600">
            <v:path/>
            <v:fill on="f" focussize="0,0"/>
            <v:stroke on="f"/>
            <v:imagedata r:id="rId10" o:title=""/>
            <o:lock v:ext="edit" aspectratio="t"/>
            <w10:wrap type="none"/>
            <w10:anchorlock/>
          </v:shape>
          <o:OLEObject Type="Embed" ProgID="Excel.Chart.8" ShapeID="_x0000_i1027" DrawAspect="Content" ObjectID="_1468075727" r:id="rId9">
            <o:LockedField>false</o:LockedField>
          </o:OLEObject>
        </w:object>
      </w:r>
    </w:p>
    <w:p>
      <w:pPr>
        <w:bidi w:val="0"/>
        <w:ind w:firstLine="640" w:firstLineChars="200"/>
        <w:rPr>
          <w:rFonts w:hint="eastAsia" w:ascii="黑体" w:hAnsi="黑体" w:eastAsia="黑体" w:cs="黑体"/>
          <w:lang w:val="en-US" w:eastAsia="zh-CN"/>
        </w:rPr>
      </w:pPr>
    </w:p>
    <w:p>
      <w:pPr>
        <w:bidi w:val="0"/>
        <w:ind w:firstLine="640" w:firstLineChars="200"/>
        <w:rPr>
          <w:rFonts w:hint="eastAsia" w:ascii="黑体" w:hAnsi="黑体" w:eastAsia="黑体" w:cs="黑体"/>
          <w:lang w:val="en-US" w:eastAsia="zh-CN"/>
        </w:rPr>
      </w:pPr>
    </w:p>
    <w:p>
      <w:pPr>
        <w:bidi w:val="0"/>
        <w:ind w:firstLine="640" w:firstLineChars="20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pPr>
        <w:bidi w:val="0"/>
        <w:ind w:firstLine="640" w:firstLineChars="200"/>
        <w:rPr>
          <w:rFonts w:hint="eastAsia"/>
        </w:rPr>
      </w:pPr>
      <w:r>
        <w:rPr>
          <w:rFonts w:hint="eastAsia"/>
          <w:lang w:eastAsia="zh-CN"/>
        </w:rPr>
        <w:t>202</w:t>
      </w:r>
      <w:r>
        <w:rPr>
          <w:rFonts w:hint="eastAsia"/>
          <w:lang w:val="en-US" w:eastAsia="zh-CN"/>
        </w:rPr>
        <w:t>2</w:t>
      </w:r>
      <w:r>
        <w:rPr>
          <w:rFonts w:hint="eastAsia"/>
          <w:lang w:eastAsia="zh-CN"/>
        </w:rPr>
        <w:t>年</w:t>
      </w:r>
      <w:r>
        <w:rPr>
          <w:rFonts w:hint="eastAsia"/>
        </w:rPr>
        <w:t>度财政拨款收、支总计</w:t>
      </w:r>
      <w:r>
        <w:rPr>
          <w:rFonts w:hint="eastAsia"/>
          <w:lang w:val="en-US" w:eastAsia="zh-CN"/>
        </w:rPr>
        <w:t>均为</w:t>
      </w:r>
      <w:r>
        <w:rPr>
          <w:rFonts w:hint="eastAsia"/>
          <w:u w:val="single"/>
          <w:lang w:val="en-US" w:eastAsia="zh-CN"/>
        </w:rPr>
        <w:t xml:space="preserve"> 881.56</w:t>
      </w:r>
      <w:r>
        <w:rPr>
          <w:rFonts w:hint="eastAsia"/>
        </w:rPr>
        <w:t>万元。与</w:t>
      </w:r>
      <w:r>
        <w:rPr>
          <w:rFonts w:hint="eastAsia"/>
          <w:lang w:eastAsia="zh-CN"/>
        </w:rPr>
        <w:t>202</w:t>
      </w:r>
      <w:r>
        <w:rPr>
          <w:rFonts w:hint="eastAsia"/>
          <w:lang w:val="en-US" w:eastAsia="zh-CN"/>
        </w:rPr>
        <w:t>1</w:t>
      </w:r>
      <w:r>
        <w:rPr>
          <w:rFonts w:hint="eastAsia"/>
          <w:lang w:eastAsia="zh-CN"/>
        </w:rPr>
        <w:t>年度</w:t>
      </w:r>
      <w:r>
        <w:rPr>
          <w:rFonts w:hint="eastAsia"/>
        </w:rPr>
        <w:t>相比，财政拨款收、支总计各增加</w:t>
      </w:r>
      <w:r>
        <w:rPr>
          <w:rFonts w:hint="eastAsia"/>
          <w:u w:val="single"/>
          <w:lang w:val="en-US" w:eastAsia="zh-CN"/>
        </w:rPr>
        <w:t xml:space="preserve"> 124.45</w:t>
      </w:r>
      <w:r>
        <w:rPr>
          <w:rFonts w:hint="eastAsia"/>
        </w:rPr>
        <w:t>万元，增长</w:t>
      </w:r>
      <w:r>
        <w:rPr>
          <w:rFonts w:hint="eastAsia"/>
          <w:u w:val="single"/>
          <w:lang w:val="en-US" w:eastAsia="zh-CN"/>
        </w:rPr>
        <w:t xml:space="preserve"> 16.44</w:t>
      </w:r>
      <w:r>
        <w:rPr>
          <w:rFonts w:hint="eastAsia"/>
        </w:rPr>
        <w:t>%。主要原因是</w:t>
      </w:r>
      <w:r>
        <w:rPr>
          <w:rFonts w:hint="eastAsia" w:ascii="仿宋_GB2312" w:hAnsi="宋体"/>
          <w:bCs/>
          <w:sz w:val="32"/>
          <w:szCs w:val="32"/>
          <w:highlight w:val="none"/>
          <w:lang w:val="en-US" w:eastAsia="zh-CN"/>
        </w:rPr>
        <w:t>2022年按时发放本年度年终绩效奖金并补发2021年度年终绩效奖金，同时工资福利标准有所提高，导致收入支出</w:t>
      </w:r>
      <w:r>
        <w:rPr>
          <w:rFonts w:hint="eastAsia" w:ascii="仿宋_GB2312" w:hAnsi="宋体" w:eastAsia="仿宋_GB2312"/>
          <w:bCs/>
          <w:sz w:val="32"/>
          <w:szCs w:val="32"/>
          <w:highlight w:val="none"/>
          <w:lang w:val="en-US" w:eastAsia="zh-CN"/>
        </w:rPr>
        <w:t>增加</w:t>
      </w:r>
      <w:r>
        <w:rPr>
          <w:rFonts w:hint="eastAsia"/>
        </w:rPr>
        <w:t>。</w:t>
      </w:r>
    </w:p>
    <w:p>
      <w:pPr>
        <w:bidi w:val="0"/>
        <w:ind w:firstLine="640" w:firstLineChars="200"/>
        <w:rPr>
          <w:rFonts w:hint="eastAsia" w:ascii="仿宋_GB2312" w:hAnsi="仿宋_GB2312" w:eastAsia="仿宋_GB2312" w:cs="仿宋_GB2312"/>
          <w:sz w:val="30"/>
          <w:szCs w:val="30"/>
        </w:rPr>
      </w:pPr>
      <w:r>
        <w:rPr>
          <w:rFonts w:hint="eastAsia"/>
          <w:lang w:val="en-US" w:eastAsia="zh-CN"/>
        </w:rPr>
        <w:t>2022年度财政拨款收入中，一般公共预算财政拨款收入</w:t>
      </w:r>
      <w:r>
        <w:rPr>
          <w:rFonts w:hint="eastAsia"/>
          <w:u w:val="single"/>
          <w:lang w:val="en-US" w:eastAsia="zh-CN"/>
        </w:rPr>
        <w:t xml:space="preserve"> 881.56</w:t>
      </w:r>
      <w:r>
        <w:rPr>
          <w:rFonts w:hint="eastAsia"/>
        </w:rPr>
        <w:t>万元</w:t>
      </w:r>
      <w:r>
        <w:rPr>
          <w:rFonts w:hint="eastAsia"/>
          <w:lang w:eastAsia="zh-CN"/>
        </w:rPr>
        <w:t>，比</w:t>
      </w:r>
      <w:r>
        <w:rPr>
          <w:rFonts w:hint="eastAsia"/>
          <w:lang w:val="en-US" w:eastAsia="zh-CN"/>
        </w:rPr>
        <w:t>2021年度决算数增加</w:t>
      </w:r>
      <w:r>
        <w:rPr>
          <w:rFonts w:hint="eastAsia"/>
          <w:u w:val="single"/>
          <w:lang w:val="en-US" w:eastAsia="zh-CN"/>
        </w:rPr>
        <w:t xml:space="preserve"> 124.45 </w:t>
      </w:r>
      <w:r>
        <w:rPr>
          <w:rFonts w:hint="eastAsia"/>
          <w:u w:val="none"/>
          <w:lang w:val="en-US" w:eastAsia="zh-CN"/>
        </w:rPr>
        <w:t>万元</w:t>
      </w:r>
      <w:r>
        <w:rPr>
          <w:rFonts w:hint="eastAsia" w:ascii="仿宋_GB2312" w:hAnsi="宋体"/>
          <w:bCs/>
          <w:szCs w:val="32"/>
          <w:highlight w:val="none"/>
          <w:lang w:val="en-US" w:eastAsia="zh-CN"/>
        </w:rPr>
        <w:t>。</w:t>
      </w:r>
      <w:r>
        <w:rPr>
          <w:rFonts w:hint="eastAsia"/>
          <w:lang w:eastAsia="zh-CN"/>
        </w:rPr>
        <w:t>增加</w:t>
      </w:r>
      <w:r>
        <w:rPr>
          <w:rFonts w:hint="eastAsia"/>
        </w:rPr>
        <w:t>主要原因是</w:t>
      </w:r>
      <w:r>
        <w:rPr>
          <w:rFonts w:hint="eastAsia" w:ascii="仿宋_GB2312" w:hAnsi="宋体"/>
          <w:bCs/>
          <w:sz w:val="32"/>
          <w:szCs w:val="32"/>
          <w:highlight w:val="none"/>
          <w:lang w:val="en-US" w:eastAsia="zh-CN"/>
        </w:rPr>
        <w:t>2022年按时发放本年度年终绩效奖金并补发2021年度年终绩效奖金，同时工资福利标准有所提高，导致收入支出</w:t>
      </w:r>
      <w:r>
        <w:rPr>
          <w:rFonts w:hint="eastAsia" w:ascii="仿宋_GB2312" w:hAnsi="宋体" w:eastAsia="仿宋_GB2312"/>
          <w:bCs/>
          <w:sz w:val="32"/>
          <w:szCs w:val="32"/>
          <w:highlight w:val="none"/>
          <w:lang w:val="en-US" w:eastAsia="zh-CN"/>
        </w:rPr>
        <w:t>增加</w:t>
      </w:r>
      <w:r>
        <w:rPr>
          <w:rFonts w:hint="eastAsia"/>
        </w:rPr>
        <w:t>。</w:t>
      </w:r>
      <w:r>
        <w:rPr>
          <w:rFonts w:hint="eastAsia"/>
          <w:lang w:eastAsia="zh-CN"/>
        </w:rPr>
        <w:t>政府性基金预算财政拨款收入</w:t>
      </w:r>
      <w:r>
        <w:rPr>
          <w:rFonts w:hint="eastAsia"/>
          <w:u w:val="single"/>
          <w:lang w:val="en-US" w:eastAsia="zh-CN"/>
        </w:rPr>
        <w:t xml:space="preserve"> 0</w:t>
      </w:r>
      <w:r>
        <w:rPr>
          <w:rFonts w:hint="eastAsia"/>
          <w:u w:val="none"/>
          <w:lang w:val="en-US" w:eastAsia="zh-CN"/>
        </w:rPr>
        <w:t>万元，</w:t>
      </w:r>
      <w:r>
        <w:rPr>
          <w:rFonts w:hint="eastAsia"/>
          <w:lang w:eastAsia="zh-CN"/>
        </w:rPr>
        <w:t>比</w:t>
      </w:r>
      <w:r>
        <w:rPr>
          <w:rFonts w:hint="eastAsia"/>
          <w:lang w:val="en-US" w:eastAsia="zh-CN"/>
        </w:rPr>
        <w:t>2021年度决算数增加（减少）</w:t>
      </w:r>
      <w:r>
        <w:rPr>
          <w:rFonts w:hint="eastAsia"/>
          <w:u w:val="single"/>
          <w:lang w:val="en-US" w:eastAsia="zh-CN"/>
        </w:rPr>
        <w:t xml:space="preserve"> 0</w:t>
      </w:r>
      <w:r>
        <w:rPr>
          <w:rFonts w:hint="eastAsia"/>
          <w:u w:val="none"/>
          <w:lang w:val="en-US" w:eastAsia="zh-CN"/>
        </w:rPr>
        <w:t>万元</w:t>
      </w:r>
      <w:r>
        <w:rPr>
          <w:rFonts w:hint="eastAsia" w:ascii="仿宋_GB2312" w:hAnsi="宋体"/>
          <w:bCs/>
          <w:szCs w:val="32"/>
          <w:highlight w:val="none"/>
          <w:lang w:val="en-US" w:eastAsia="zh-CN"/>
        </w:rPr>
        <w:t>。</w:t>
      </w:r>
      <w:r>
        <w:rPr>
          <w:rFonts w:hint="eastAsia"/>
          <w:lang w:val="en-US" w:eastAsia="zh-CN"/>
        </w:rPr>
        <w:t>本单位本年度没有政府性基金预算财政拨款收入</w:t>
      </w:r>
      <w:r>
        <w:rPr>
          <w:rFonts w:hint="eastAsia"/>
        </w:rPr>
        <w:t>。国有资本经营预算财政拨款收入</w:t>
      </w:r>
      <w:r>
        <w:rPr>
          <w:rFonts w:hint="eastAsia"/>
          <w:u w:val="single"/>
          <w:lang w:val="en-US" w:eastAsia="zh-CN"/>
        </w:rPr>
        <w:t xml:space="preserve"> 0</w:t>
      </w:r>
      <w:r>
        <w:rPr>
          <w:rFonts w:hint="eastAsia"/>
          <w:u w:val="none"/>
          <w:lang w:val="en-US" w:eastAsia="zh-CN"/>
        </w:rPr>
        <w:t>万元，</w:t>
      </w:r>
      <w:r>
        <w:rPr>
          <w:rFonts w:hint="eastAsia"/>
          <w:lang w:eastAsia="zh-CN"/>
        </w:rPr>
        <w:t>比</w:t>
      </w:r>
      <w:r>
        <w:rPr>
          <w:rFonts w:hint="eastAsia"/>
          <w:lang w:val="en-US" w:eastAsia="zh-CN"/>
        </w:rPr>
        <w:t>2021年度决算数增加（减少）</w:t>
      </w:r>
      <w:r>
        <w:rPr>
          <w:rFonts w:hint="eastAsia"/>
          <w:u w:val="single"/>
          <w:lang w:val="en-US" w:eastAsia="zh-CN"/>
        </w:rPr>
        <w:t xml:space="preserve"> 0</w:t>
      </w:r>
      <w:r>
        <w:rPr>
          <w:rFonts w:hint="eastAsia"/>
          <w:u w:val="none"/>
          <w:lang w:val="en-US" w:eastAsia="zh-CN"/>
        </w:rPr>
        <w:t>万元</w:t>
      </w:r>
      <w:r>
        <w:rPr>
          <w:rFonts w:hint="eastAsia" w:ascii="仿宋_GB2312" w:hAnsi="宋体"/>
          <w:bCs/>
          <w:szCs w:val="32"/>
          <w:highlight w:val="none"/>
          <w:lang w:val="en-US" w:eastAsia="zh-CN"/>
        </w:rPr>
        <w:t>。</w:t>
      </w:r>
      <w:r>
        <w:rPr>
          <w:rFonts w:hint="eastAsia"/>
          <w:lang w:val="en-US" w:eastAsia="zh-CN"/>
        </w:rPr>
        <w:t>本单位本年度没有国有资本经营预算财政拨款收入</w:t>
      </w:r>
      <w:r>
        <w:rPr>
          <w:rFonts w:hint="eastAsia"/>
        </w:rPr>
        <w:t>。</w:t>
      </w:r>
    </w:p>
    <w:p>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图4：财政拨款收、支决算总计变动情况</w:t>
      </w:r>
    </w:p>
    <w:p>
      <w:pPr>
        <w:bidi w:val="0"/>
        <w:jc w:val="center"/>
        <w:rPr>
          <w:rFonts w:hint="eastAsia" w:ascii="黑体" w:hAnsi="黑体" w:eastAsia="黑体" w:cs="黑体"/>
          <w:lang w:val="en-US" w:eastAsia="zh-CN"/>
        </w:rPr>
      </w:pPr>
      <w:r>
        <w:rPr>
          <w:rFonts w:hint="eastAsia" w:ascii="仿宋_GB2312" w:hAnsi="宋体"/>
          <w:bCs/>
          <w:sz w:val="32"/>
          <w:szCs w:val="32"/>
          <w:highlight w:val="none"/>
          <w:lang w:val="en-US" w:eastAsia="zh-CN"/>
        </w:rPr>
        <w:t>88</w:t>
      </w:r>
      <w:r>
        <w:rPr>
          <w:rFonts w:hint="eastAsia" w:ascii="仿宋_GB2312" w:hAnsi="宋体" w:eastAsia="仿宋_GB2312"/>
          <w:bCs/>
          <w:sz w:val="32"/>
          <w:szCs w:val="32"/>
          <w:highlight w:val="none"/>
          <w:lang w:val="en-US" w:eastAsia="zh-CN"/>
        </w:rPr>
        <w:object>
          <v:shape id="_x0000_i1028" o:spt="75" type="#_x0000_t75" style="height:216pt;width:379.5pt;" o:ole="t" filled="f" o:preferrelative="t" stroked="f" coordsize="21600,21600">
            <v:path/>
            <v:fill on="f" focussize="0,0"/>
            <v:stroke on="f"/>
            <v:imagedata r:id="rId12" o:title=""/>
            <o:lock v:ext="edit" aspectratio="t"/>
            <w10:wrap type="none"/>
            <w10:anchorlock/>
          </v:shape>
          <o:OLEObject Type="Embed" ProgID="Excel.Chart.8" ShapeID="_x0000_i1028" DrawAspect="Content" ObjectID="_1468075728" r:id="rId11">
            <o:LockedField>false</o:LockedField>
          </o:OLEObject>
        </w:object>
      </w:r>
    </w:p>
    <w:p>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财政拨款支出决算总体情况。</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eastAsia="zh-CN"/>
        </w:rPr>
        <w:t>202</w:t>
      </w:r>
      <w:r>
        <w:rPr>
          <w:rFonts w:hint="eastAsia" w:ascii="仿宋_GB2312"/>
          <w:bCs/>
          <w:kern w:val="44"/>
          <w:sz w:val="32"/>
          <w:szCs w:val="32"/>
          <w:highlight w:val="none"/>
          <w:lang w:val="en-US" w:eastAsia="zh-CN"/>
        </w:rPr>
        <w:t>2</w:t>
      </w:r>
      <w:r>
        <w:rPr>
          <w:rFonts w:hint="eastAsia" w:ascii="仿宋_GB2312" w:hAnsi="仿宋_GB2312" w:eastAsia="仿宋_GB2312" w:cs="仿宋_GB2312"/>
          <w:bCs/>
          <w:kern w:val="44"/>
          <w:sz w:val="32"/>
          <w:szCs w:val="32"/>
          <w:highlight w:val="none"/>
          <w:lang w:eastAsia="zh-CN"/>
        </w:rPr>
        <w:t>年</w:t>
      </w:r>
      <w:r>
        <w:rPr>
          <w:rFonts w:hint="eastAsia" w:ascii="仿宋_GB2312" w:hAnsi="仿宋_GB2312" w:eastAsia="仿宋_GB2312" w:cs="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hAnsi="仿宋_GB2312" w:eastAsia="仿宋_GB2312" w:cs="仿宋_GB2312"/>
          <w:bCs/>
          <w:kern w:val="44"/>
          <w:sz w:val="32"/>
          <w:szCs w:val="32"/>
          <w:highlight w:val="none"/>
        </w:rPr>
        <w:t>财政拨</w:t>
      </w:r>
      <w:r>
        <w:rPr>
          <w:rFonts w:hint="eastAsia" w:ascii="仿宋_GB2312" w:eastAsia="仿宋_GB2312"/>
          <w:bCs/>
          <w:kern w:val="44"/>
          <w:sz w:val="32"/>
          <w:szCs w:val="32"/>
          <w:highlight w:val="none"/>
        </w:rPr>
        <w:t>款支出</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881.56</w:t>
      </w:r>
      <w:r>
        <w:rPr>
          <w:rFonts w:hint="eastAsia" w:ascii="仿宋_GB2312" w:eastAsia="仿宋_GB2312"/>
          <w:bCs/>
          <w:kern w:val="44"/>
          <w:sz w:val="32"/>
          <w:szCs w:val="32"/>
          <w:highlight w:val="none"/>
        </w:rPr>
        <w:t>万元，占本年支出合计的</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98.92</w:t>
      </w:r>
      <w:r>
        <w:rPr>
          <w:rFonts w:hint="eastAsia" w:ascii="仿宋_GB2312" w:eastAsia="仿宋_GB2312"/>
          <w:bCs/>
          <w:kern w:val="44"/>
          <w:sz w:val="32"/>
          <w:szCs w:val="32"/>
          <w:highlight w:val="none"/>
        </w:rPr>
        <w:t>%。与</w:t>
      </w:r>
      <w:r>
        <w:rPr>
          <w:rFonts w:hint="eastAsia" w:ascii="仿宋_GB2312"/>
          <w:bCs/>
          <w:kern w:val="44"/>
          <w:sz w:val="32"/>
          <w:szCs w:val="32"/>
          <w:highlight w:val="none"/>
          <w:lang w:eastAsia="zh-CN"/>
        </w:rPr>
        <w:t>202</w:t>
      </w:r>
      <w:r>
        <w:rPr>
          <w:rFonts w:hint="eastAsia" w:ascii="仿宋_GB2312"/>
          <w:bCs/>
          <w:kern w:val="44"/>
          <w:sz w:val="32"/>
          <w:szCs w:val="32"/>
          <w:highlight w:val="none"/>
          <w:lang w:val="en-US" w:eastAsia="zh-CN"/>
        </w:rPr>
        <w:t>1</w:t>
      </w:r>
      <w:r>
        <w:rPr>
          <w:rFonts w:hint="eastAsia" w:ascii="仿宋_GB2312"/>
          <w:bCs/>
          <w:kern w:val="44"/>
          <w:sz w:val="32"/>
          <w:szCs w:val="32"/>
          <w:highlight w:val="none"/>
          <w:lang w:eastAsia="zh-CN"/>
        </w:rPr>
        <w:t>年</w:t>
      </w:r>
      <w:r>
        <w:rPr>
          <w:rFonts w:hint="eastAsia" w:ascii="仿宋_GB2312" w:eastAsia="仿宋_GB2312"/>
          <w:bCs/>
          <w:kern w:val="44"/>
          <w:sz w:val="32"/>
          <w:szCs w:val="32"/>
          <w:highlight w:val="none"/>
          <w:lang w:eastAsia="zh-CN"/>
        </w:rPr>
        <w:t>度</w:t>
      </w:r>
      <w:r>
        <w:rPr>
          <w:rFonts w:hint="eastAsia" w:ascii="仿宋_GB2312" w:eastAsia="仿宋_GB2312"/>
          <w:bCs/>
          <w:kern w:val="44"/>
          <w:sz w:val="32"/>
          <w:szCs w:val="32"/>
          <w:highlight w:val="none"/>
        </w:rPr>
        <w:t>相比，</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eastAsia="仿宋_GB2312"/>
          <w:bCs/>
          <w:kern w:val="44"/>
          <w:sz w:val="32"/>
          <w:szCs w:val="32"/>
          <w:highlight w:val="none"/>
        </w:rPr>
        <w:t>财政拨款支出增加</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124.45</w:t>
      </w:r>
      <w:r>
        <w:rPr>
          <w:rFonts w:hint="eastAsia" w:ascii="仿宋_GB2312" w:eastAsia="仿宋_GB2312"/>
          <w:bCs/>
          <w:kern w:val="44"/>
          <w:sz w:val="32"/>
          <w:szCs w:val="32"/>
          <w:highlight w:val="none"/>
        </w:rPr>
        <w:t>万元，增长</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16.44</w:t>
      </w:r>
      <w:r>
        <w:rPr>
          <w:rFonts w:hint="eastAsia" w:ascii="仿宋_GB2312" w:eastAsia="仿宋_GB2312"/>
          <w:bCs/>
          <w:kern w:val="44"/>
          <w:sz w:val="32"/>
          <w:szCs w:val="32"/>
          <w:highlight w:val="none"/>
        </w:rPr>
        <w:t>%。主要原因是</w:t>
      </w:r>
      <w:r>
        <w:rPr>
          <w:rFonts w:hint="eastAsia" w:ascii="仿宋_GB2312" w:hAnsi="宋体"/>
          <w:bCs/>
          <w:sz w:val="32"/>
          <w:szCs w:val="32"/>
          <w:highlight w:val="none"/>
          <w:lang w:val="en-US" w:eastAsia="zh-CN"/>
        </w:rPr>
        <w:t>2022年按时发放本年度年终绩效奖金并补发2021年度年终绩效奖金，同时工资福利标准有所提高，导致收入支出</w:t>
      </w:r>
      <w:r>
        <w:rPr>
          <w:rFonts w:hint="eastAsia" w:ascii="仿宋_GB2312" w:hAnsi="宋体" w:eastAsia="仿宋_GB2312"/>
          <w:bCs/>
          <w:sz w:val="32"/>
          <w:szCs w:val="32"/>
          <w:highlight w:val="none"/>
          <w:lang w:val="en-US" w:eastAsia="zh-CN"/>
        </w:rPr>
        <w:t>增加</w:t>
      </w:r>
      <w:r>
        <w:rPr>
          <w:rFonts w:hint="eastAsia" w:ascii="仿宋_GB2312" w:eastAsia="仿宋_GB2312"/>
          <w:bCs/>
          <w:kern w:val="44"/>
          <w:sz w:val="32"/>
          <w:szCs w:val="32"/>
          <w:highlight w:val="none"/>
        </w:rPr>
        <w:t>。</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lang w:eastAsia="zh-CN"/>
        </w:rPr>
        <w:t>（二）一般公共预算</w:t>
      </w:r>
      <w:r>
        <w:rPr>
          <w:rFonts w:hint="eastAsia" w:ascii="楷体_GB2312" w:hAnsi="楷体_GB2312" w:eastAsia="楷体_GB2312" w:cs="楷体_GB2312"/>
          <w:bCs/>
          <w:kern w:val="44"/>
          <w:sz w:val="32"/>
          <w:szCs w:val="32"/>
          <w:highlight w:val="none"/>
        </w:rPr>
        <w:t>财政拨款支出决算结构情况。</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eastAsia="zh-CN"/>
        </w:rPr>
        <w:t>202</w:t>
      </w:r>
      <w:r>
        <w:rPr>
          <w:rFonts w:hint="eastAsia" w:ascii="仿宋_GB2312"/>
          <w:bCs/>
          <w:kern w:val="44"/>
          <w:sz w:val="32"/>
          <w:szCs w:val="32"/>
          <w:highlight w:val="none"/>
          <w:lang w:val="en-US" w:eastAsia="zh-CN"/>
        </w:rPr>
        <w:t>2</w:t>
      </w:r>
      <w:r>
        <w:rPr>
          <w:rFonts w:hint="eastAsia" w:ascii="仿宋_GB2312"/>
          <w:bCs/>
          <w:kern w:val="44"/>
          <w:sz w:val="32"/>
          <w:szCs w:val="32"/>
          <w:highlight w:val="none"/>
          <w:lang w:eastAsia="zh-CN"/>
        </w:rPr>
        <w:t>年</w:t>
      </w:r>
      <w:r>
        <w:rPr>
          <w:rFonts w:hint="eastAsia" w:ascii="仿宋_GB2312" w:eastAsia="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eastAsia="仿宋_GB2312"/>
          <w:bCs/>
          <w:kern w:val="44"/>
          <w:sz w:val="32"/>
          <w:szCs w:val="32"/>
          <w:highlight w:val="none"/>
        </w:rPr>
        <w:t>财政拨款支出</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881.56</w:t>
      </w:r>
      <w:r>
        <w:rPr>
          <w:rFonts w:hint="eastAsia" w:ascii="仿宋_GB2312" w:eastAsia="仿宋_GB2312"/>
          <w:bCs/>
          <w:kern w:val="44"/>
          <w:sz w:val="32"/>
          <w:szCs w:val="32"/>
          <w:highlight w:val="none"/>
        </w:rPr>
        <w:t>万元，主要用于以下方面：</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eastAsia="仿宋_GB2312"/>
          <w:bCs/>
          <w:color w:val="auto"/>
          <w:kern w:val="44"/>
          <w:sz w:val="32"/>
          <w:szCs w:val="32"/>
          <w:highlight w:val="none"/>
          <w:lang w:val="en-US" w:eastAsia="zh-CN"/>
        </w:rPr>
      </w:pPr>
      <w:r>
        <w:rPr>
          <w:rFonts w:hint="eastAsia" w:ascii="仿宋_GB2312"/>
          <w:bCs/>
          <w:color w:val="auto"/>
          <w:kern w:val="44"/>
          <w:sz w:val="32"/>
          <w:szCs w:val="32"/>
          <w:highlight w:val="none"/>
          <w:lang w:val="en-US" w:eastAsia="zh-CN"/>
        </w:rPr>
        <w:t>1.教育支出（类）</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750.35</w:t>
      </w:r>
      <w:r>
        <w:rPr>
          <w:rFonts w:hint="eastAsia" w:ascii="仿宋_GB2312" w:eastAsia="仿宋_GB2312"/>
          <w:bCs/>
          <w:color w:val="auto"/>
          <w:kern w:val="44"/>
          <w:sz w:val="32"/>
          <w:szCs w:val="32"/>
          <w:highlight w:val="none"/>
        </w:rPr>
        <w:t>万元，占</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85.12</w:t>
      </w:r>
      <w:r>
        <w:rPr>
          <w:rFonts w:ascii="仿宋_GB2312" w:eastAsia="仿宋_GB2312"/>
          <w:bCs/>
          <w:color w:val="auto"/>
          <w:kern w:val="44"/>
          <w:sz w:val="32"/>
          <w:szCs w:val="32"/>
          <w:highlight w:val="none"/>
        </w:rPr>
        <w:t>%</w:t>
      </w:r>
      <w:r>
        <w:rPr>
          <w:rFonts w:hint="eastAsia" w:ascii="仿宋_GB2312"/>
          <w:bCs/>
          <w:color w:val="auto"/>
          <w:kern w:val="44"/>
          <w:sz w:val="32"/>
          <w:szCs w:val="32"/>
          <w:highlight w:val="none"/>
          <w:lang w:eastAsia="zh-CN"/>
        </w:rPr>
        <w:t>。主要是用于</w:t>
      </w:r>
      <w:r>
        <w:rPr>
          <w:rFonts w:hint="eastAsia" w:ascii="仿宋_GB2312"/>
          <w:bCs/>
          <w:color w:val="auto"/>
          <w:kern w:val="44"/>
          <w:sz w:val="32"/>
          <w:szCs w:val="32"/>
          <w:highlight w:val="none"/>
          <w:lang w:val="en-US" w:eastAsia="zh-CN"/>
        </w:rPr>
        <w:t>小学</w:t>
      </w:r>
      <w:r>
        <w:rPr>
          <w:rFonts w:hint="eastAsia" w:ascii="仿宋_GB2312"/>
          <w:bCs/>
          <w:kern w:val="44"/>
          <w:sz w:val="32"/>
          <w:szCs w:val="32"/>
          <w:highlight w:val="none"/>
          <w:lang w:val="en-US" w:eastAsia="zh-CN"/>
        </w:rPr>
        <w:t>教育基本教育支出</w:t>
      </w:r>
      <w:r>
        <w:rPr>
          <w:rFonts w:hint="eastAsia" w:ascii="仿宋_GB2312"/>
          <w:bCs/>
          <w:color w:val="auto"/>
          <w:kern w:val="44"/>
          <w:sz w:val="32"/>
          <w:szCs w:val="32"/>
          <w:highlight w:val="none"/>
          <w:lang w:eastAsia="zh-CN"/>
        </w:rPr>
        <w:t>。</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eastAsia="仿宋_GB2312"/>
          <w:bCs/>
          <w:color w:val="auto"/>
          <w:kern w:val="44"/>
          <w:sz w:val="32"/>
          <w:szCs w:val="32"/>
          <w:highlight w:val="none"/>
          <w:lang w:val="en-US" w:eastAsia="zh-CN"/>
        </w:rPr>
      </w:pPr>
      <w:r>
        <w:rPr>
          <w:rFonts w:hint="eastAsia" w:ascii="仿宋_GB2312"/>
          <w:bCs/>
          <w:color w:val="auto"/>
          <w:kern w:val="44"/>
          <w:sz w:val="32"/>
          <w:szCs w:val="32"/>
          <w:highlight w:val="none"/>
          <w:lang w:val="en-US" w:eastAsia="zh-CN"/>
        </w:rPr>
        <w:t>2.</w:t>
      </w:r>
      <w:r>
        <w:rPr>
          <w:rFonts w:hint="eastAsia" w:ascii="仿宋_GB2312" w:hAnsi="仿宋_GB2312" w:eastAsia="仿宋_GB2312" w:cs="仿宋_GB2312"/>
          <w:color w:val="auto"/>
          <w:kern w:val="0"/>
          <w:sz w:val="32"/>
          <w:szCs w:val="32"/>
          <w:lang w:val="en-US" w:eastAsia="zh-CN" w:bidi="ar"/>
        </w:rPr>
        <w:t>社会保障支出</w:t>
      </w:r>
      <w:r>
        <w:rPr>
          <w:rFonts w:hint="eastAsia" w:ascii="仿宋_GB2312"/>
          <w:bCs/>
          <w:color w:val="auto"/>
          <w:kern w:val="44"/>
          <w:sz w:val="32"/>
          <w:szCs w:val="32"/>
          <w:highlight w:val="none"/>
          <w:lang w:val="en-US" w:eastAsia="zh-CN"/>
        </w:rPr>
        <w:t>（类）</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66.83</w:t>
      </w:r>
      <w:r>
        <w:rPr>
          <w:rFonts w:hint="eastAsia" w:ascii="仿宋_GB2312" w:eastAsia="仿宋_GB2312"/>
          <w:bCs/>
          <w:color w:val="auto"/>
          <w:kern w:val="44"/>
          <w:sz w:val="32"/>
          <w:szCs w:val="32"/>
          <w:highlight w:val="none"/>
        </w:rPr>
        <w:t>万元，占</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7.58</w:t>
      </w:r>
      <w:r>
        <w:rPr>
          <w:rFonts w:ascii="仿宋_GB2312" w:eastAsia="仿宋_GB2312"/>
          <w:bCs/>
          <w:color w:val="auto"/>
          <w:kern w:val="44"/>
          <w:sz w:val="32"/>
          <w:szCs w:val="32"/>
          <w:highlight w:val="none"/>
        </w:rPr>
        <w:t>%</w:t>
      </w:r>
      <w:r>
        <w:rPr>
          <w:rFonts w:hint="eastAsia" w:ascii="仿宋_GB2312"/>
          <w:bCs/>
          <w:color w:val="auto"/>
          <w:kern w:val="44"/>
          <w:sz w:val="32"/>
          <w:szCs w:val="32"/>
          <w:highlight w:val="none"/>
          <w:lang w:eastAsia="zh-CN"/>
        </w:rPr>
        <w:t>。主要是用于</w:t>
      </w:r>
      <w:r>
        <w:rPr>
          <w:rFonts w:hint="eastAsia" w:ascii="仿宋_GB2312"/>
          <w:bCs/>
          <w:kern w:val="44"/>
          <w:sz w:val="32"/>
          <w:szCs w:val="32"/>
          <w:highlight w:val="none"/>
          <w:lang w:val="en-US" w:eastAsia="zh-CN"/>
        </w:rPr>
        <w:t>人员社会保障支出</w:t>
      </w:r>
      <w:r>
        <w:rPr>
          <w:rFonts w:hint="eastAsia" w:ascii="仿宋_GB2312"/>
          <w:bCs/>
          <w:color w:val="auto"/>
          <w:kern w:val="44"/>
          <w:sz w:val="32"/>
          <w:szCs w:val="32"/>
          <w:highlight w:val="none"/>
          <w:lang w:eastAsia="zh-CN"/>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3.卫生健康支出</w:t>
      </w:r>
      <w:r>
        <w:rPr>
          <w:rFonts w:hint="eastAsia" w:ascii="仿宋_GB2312"/>
          <w:bCs/>
          <w:color w:val="auto"/>
          <w:kern w:val="44"/>
          <w:sz w:val="32"/>
          <w:szCs w:val="32"/>
          <w:highlight w:val="none"/>
          <w:lang w:val="en-US" w:eastAsia="zh-CN"/>
        </w:rPr>
        <w:t>（类）</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31.93</w:t>
      </w:r>
      <w:r>
        <w:rPr>
          <w:rFonts w:hint="eastAsia" w:ascii="仿宋_GB2312" w:eastAsia="仿宋_GB2312"/>
          <w:bCs/>
          <w:color w:val="auto"/>
          <w:kern w:val="44"/>
          <w:sz w:val="32"/>
          <w:szCs w:val="32"/>
          <w:highlight w:val="none"/>
        </w:rPr>
        <w:t>万元，占</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3.62</w:t>
      </w:r>
      <w:r>
        <w:rPr>
          <w:rFonts w:ascii="仿宋_GB2312" w:eastAsia="仿宋_GB2312"/>
          <w:bCs/>
          <w:color w:val="auto"/>
          <w:kern w:val="44"/>
          <w:sz w:val="32"/>
          <w:szCs w:val="32"/>
          <w:highlight w:val="none"/>
        </w:rPr>
        <w:t>%</w:t>
      </w:r>
      <w:r>
        <w:rPr>
          <w:rFonts w:hint="eastAsia" w:ascii="仿宋_GB2312"/>
          <w:bCs/>
          <w:color w:val="auto"/>
          <w:kern w:val="44"/>
          <w:sz w:val="32"/>
          <w:szCs w:val="32"/>
          <w:highlight w:val="none"/>
          <w:lang w:eastAsia="zh-CN"/>
        </w:rPr>
        <w:t>。主要是用于</w:t>
      </w:r>
      <w:r>
        <w:rPr>
          <w:rFonts w:hint="eastAsia" w:ascii="仿宋_GB2312" w:hAnsi="Times New Roman" w:eastAsia="仿宋_GB2312" w:cs="Times New Roman"/>
          <w:bCs/>
          <w:kern w:val="44"/>
          <w:sz w:val="32"/>
          <w:szCs w:val="32"/>
          <w:highlight w:val="none"/>
          <w:lang w:val="en-US" w:eastAsia="zh-CN" w:bidi="ar-SA"/>
        </w:rPr>
        <w:t>人员医保支出</w:t>
      </w:r>
      <w:r>
        <w:rPr>
          <w:rFonts w:hint="eastAsia" w:ascii="仿宋_GB2312"/>
          <w:bCs/>
          <w:color w:val="auto"/>
          <w:kern w:val="44"/>
          <w:sz w:val="32"/>
          <w:szCs w:val="32"/>
          <w:highlight w:val="none"/>
          <w:lang w:eastAsia="zh-CN"/>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4.住房保障支出</w:t>
      </w:r>
      <w:r>
        <w:rPr>
          <w:rFonts w:hint="eastAsia" w:ascii="仿宋_GB2312"/>
          <w:bCs/>
          <w:color w:val="auto"/>
          <w:kern w:val="44"/>
          <w:sz w:val="32"/>
          <w:szCs w:val="32"/>
          <w:highlight w:val="none"/>
          <w:lang w:val="en-US" w:eastAsia="zh-CN"/>
        </w:rPr>
        <w:t>（类）</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42.05</w:t>
      </w:r>
      <w:r>
        <w:rPr>
          <w:rFonts w:hint="eastAsia" w:ascii="仿宋_GB2312" w:eastAsia="仿宋_GB2312"/>
          <w:bCs/>
          <w:color w:val="auto"/>
          <w:kern w:val="44"/>
          <w:sz w:val="32"/>
          <w:szCs w:val="32"/>
          <w:highlight w:val="none"/>
        </w:rPr>
        <w:t>万元，占</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4.77</w:t>
      </w:r>
      <w:r>
        <w:rPr>
          <w:rFonts w:ascii="仿宋_GB2312" w:eastAsia="仿宋_GB2312"/>
          <w:bCs/>
          <w:color w:val="auto"/>
          <w:kern w:val="44"/>
          <w:sz w:val="32"/>
          <w:szCs w:val="32"/>
          <w:highlight w:val="none"/>
        </w:rPr>
        <w:t>%</w:t>
      </w:r>
      <w:r>
        <w:rPr>
          <w:rFonts w:hint="eastAsia" w:ascii="仿宋_GB2312"/>
          <w:bCs/>
          <w:color w:val="auto"/>
          <w:kern w:val="44"/>
          <w:sz w:val="32"/>
          <w:szCs w:val="32"/>
          <w:highlight w:val="none"/>
          <w:lang w:eastAsia="zh-CN"/>
        </w:rPr>
        <w:t>。主要是用于</w:t>
      </w:r>
      <w:r>
        <w:rPr>
          <w:rFonts w:hint="eastAsia" w:ascii="仿宋_GB2312" w:cs="Times New Roman"/>
          <w:bCs/>
          <w:kern w:val="44"/>
          <w:sz w:val="32"/>
          <w:szCs w:val="32"/>
          <w:highlight w:val="none"/>
          <w:lang w:val="en-US" w:eastAsia="zh-CN" w:bidi="ar-SA"/>
        </w:rPr>
        <w:t>人员住房保障支出</w:t>
      </w:r>
      <w:r>
        <w:rPr>
          <w:rFonts w:hint="eastAsia" w:ascii="仿宋_GB2312"/>
          <w:bCs/>
          <w:color w:val="auto"/>
          <w:kern w:val="44"/>
          <w:sz w:val="32"/>
          <w:szCs w:val="32"/>
          <w:highlight w:val="none"/>
          <w:lang w:eastAsia="zh-CN"/>
        </w:rPr>
        <w:t>。</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eastAsia="仿宋_GB2312"/>
          <w:bCs/>
          <w:kern w:val="44"/>
          <w:sz w:val="32"/>
          <w:szCs w:val="32"/>
          <w:highlight w:val="none"/>
          <w:lang w:eastAsia="zh-CN"/>
        </w:rPr>
      </w:pPr>
      <w:r>
        <w:rPr>
          <w:rFonts w:hint="eastAsia"/>
          <w:lang w:val="en-US" w:eastAsia="zh-CN"/>
        </w:rPr>
        <w:t>本部门核算使用的支出功能分类科目包括小学教育支出、机关事业单位基本养老保险缴费支出、机关事业单位职业年金缴费支出、事业单位医疗和住房公积金。</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（三）财政拨款支出决算具体情况。</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 w:hAnsi="仿宋" w:eastAsia="仿宋" w:cs="仿宋"/>
          <w:i w:val="0"/>
          <w:caps w:val="0"/>
          <w:color w:val="auto"/>
          <w:spacing w:val="0"/>
          <w:sz w:val="32"/>
          <w:szCs w:val="32"/>
          <w:u w:val="none"/>
          <w:shd w:val="clear" w:color="auto" w:fill="FFFFFF"/>
          <w:lang w:val="en-US" w:eastAsia="zh-CN"/>
        </w:rPr>
      </w:pPr>
      <w:r>
        <w:rPr>
          <w:rFonts w:hint="eastAsia" w:ascii="仿宋_GB2312" w:hAnsi="仿宋_GB2312" w:eastAsia="仿宋_GB2312" w:cs="仿宋_GB2312"/>
          <w:bCs/>
          <w:kern w:val="44"/>
          <w:sz w:val="32"/>
          <w:szCs w:val="32"/>
          <w:highlight w:val="none"/>
          <w:lang w:eastAsia="zh-CN"/>
        </w:rPr>
        <w:t>202</w:t>
      </w:r>
      <w:r>
        <w:rPr>
          <w:rFonts w:hint="eastAsia" w:ascii="仿宋_GB2312" w:hAnsi="仿宋_GB2312" w:cs="仿宋_GB2312"/>
          <w:bCs/>
          <w:kern w:val="44"/>
          <w:sz w:val="32"/>
          <w:szCs w:val="32"/>
          <w:highlight w:val="none"/>
          <w:lang w:val="en-US" w:eastAsia="zh-CN"/>
        </w:rPr>
        <w:t>2</w:t>
      </w:r>
      <w:r>
        <w:rPr>
          <w:rFonts w:hint="eastAsia" w:ascii="仿宋_GB2312" w:hAnsi="仿宋_GB2312" w:eastAsia="仿宋_GB2312" w:cs="仿宋_GB2312"/>
          <w:bCs/>
          <w:kern w:val="44"/>
          <w:sz w:val="32"/>
          <w:szCs w:val="32"/>
          <w:highlight w:val="none"/>
          <w:lang w:eastAsia="zh-CN"/>
        </w:rPr>
        <w:t>年度</w:t>
      </w:r>
      <w:r>
        <w:rPr>
          <w:rFonts w:hint="eastAsia" w:ascii="仿宋_GB2312" w:hAnsi="仿宋_GB2312" w:eastAsia="仿宋_GB2312" w:cs="仿宋_GB2312"/>
          <w:bCs/>
          <w:kern w:val="44"/>
          <w:sz w:val="32"/>
          <w:szCs w:val="32"/>
          <w:highlight w:val="none"/>
        </w:rPr>
        <w:t>一般公共预算财政拨款支出年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cs="仿宋_GB2312"/>
          <w:bCs/>
          <w:kern w:val="44"/>
          <w:sz w:val="32"/>
          <w:szCs w:val="32"/>
          <w:highlight w:val="none"/>
          <w:u w:val="single"/>
          <w:lang w:val="en-US" w:eastAsia="zh-CN"/>
        </w:rPr>
        <w:t>801.92</w:t>
      </w:r>
      <w:r>
        <w:rPr>
          <w:rFonts w:hint="eastAsia" w:ascii="仿宋_GB2312" w:hAnsi="仿宋_GB2312" w:eastAsia="仿宋_GB2312" w:cs="仿宋_GB2312"/>
          <w:bCs/>
          <w:kern w:val="44"/>
          <w:sz w:val="32"/>
          <w:szCs w:val="32"/>
          <w:highlight w:val="none"/>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44"/>
          <w:sz w:val="32"/>
          <w:szCs w:val="32"/>
          <w:highlight w:val="none"/>
        </w:rPr>
        <w:t>支出决算为</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cs="仿宋_GB2312"/>
          <w:bCs/>
          <w:kern w:val="44"/>
          <w:sz w:val="32"/>
          <w:szCs w:val="32"/>
          <w:highlight w:val="none"/>
          <w:u w:val="single"/>
          <w:lang w:val="en-US" w:eastAsia="zh-CN"/>
        </w:rPr>
        <w:t>881.56</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cs="仿宋_GB2312"/>
          <w:bCs/>
          <w:kern w:val="44"/>
          <w:sz w:val="32"/>
          <w:szCs w:val="32"/>
          <w:highlight w:val="none"/>
          <w:u w:val="single"/>
          <w:lang w:val="en-US" w:eastAsia="zh-CN"/>
        </w:rPr>
        <w:t>109.93</w:t>
      </w:r>
      <w:r>
        <w:rPr>
          <w:rFonts w:hint="eastAsia" w:ascii="仿宋_GB2312" w:hAnsi="仿宋_GB2312" w:eastAsia="仿宋_GB2312" w:cs="仿宋_GB2312"/>
          <w:bCs/>
          <w:kern w:val="44"/>
          <w:sz w:val="32"/>
          <w:szCs w:val="32"/>
          <w:highlight w:val="none"/>
        </w:rPr>
        <w:t>%。其中：</w:t>
      </w:r>
      <w:r>
        <w:rPr>
          <w:rFonts w:hint="eastAsia" w:ascii="仿宋" w:hAnsi="仿宋" w:eastAsia="仿宋" w:cs="仿宋"/>
          <w:i w:val="0"/>
          <w:caps w:val="0"/>
          <w:color w:val="auto"/>
          <w:spacing w:val="0"/>
          <w:sz w:val="32"/>
          <w:szCs w:val="32"/>
          <w:shd w:val="clear" w:color="auto" w:fill="FFFFFF"/>
          <w:lang w:val="en-US" w:eastAsia="zh-CN"/>
        </w:rPr>
        <w:t>教育支出740.75万元占比84.03%</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社会保障</w:t>
      </w:r>
      <w:r>
        <w:rPr>
          <w:rFonts w:hint="eastAsia" w:ascii="仿宋" w:hAnsi="仿宋" w:eastAsia="仿宋" w:cs="仿宋"/>
          <w:i w:val="0"/>
          <w:caps w:val="0"/>
          <w:color w:val="auto"/>
          <w:spacing w:val="0"/>
          <w:sz w:val="32"/>
          <w:szCs w:val="32"/>
          <w:u w:val="none"/>
          <w:shd w:val="clear" w:color="auto" w:fill="FFFFFF"/>
          <w:lang w:eastAsia="zh-CN"/>
        </w:rPr>
        <w:t>支出</w:t>
      </w:r>
      <w:r>
        <w:rPr>
          <w:rFonts w:hint="eastAsia" w:ascii="仿宋" w:hAnsi="仿宋" w:eastAsia="仿宋" w:cs="仿宋"/>
          <w:i w:val="0"/>
          <w:caps w:val="0"/>
          <w:color w:val="auto"/>
          <w:spacing w:val="0"/>
          <w:sz w:val="32"/>
          <w:szCs w:val="32"/>
          <w:u w:val="none"/>
          <w:shd w:val="clear" w:color="auto" w:fill="FFFFFF"/>
          <w:lang w:val="en-US" w:eastAsia="zh-CN"/>
        </w:rPr>
        <w:t>66.83</w:t>
      </w:r>
      <w:r>
        <w:rPr>
          <w:rFonts w:hint="eastAsia" w:ascii="仿宋" w:hAnsi="仿宋" w:eastAsia="仿宋" w:cs="仿宋"/>
          <w:i w:val="0"/>
          <w:caps w:val="0"/>
          <w:color w:val="auto"/>
          <w:spacing w:val="0"/>
          <w:sz w:val="32"/>
          <w:szCs w:val="32"/>
          <w:shd w:val="clear" w:color="auto" w:fill="FFFFFF"/>
          <w:lang w:val="en-US" w:eastAsia="zh-CN"/>
        </w:rPr>
        <w:t>万元</w:t>
      </w:r>
      <w:r>
        <w:rPr>
          <w:rFonts w:hint="eastAsia" w:ascii="仿宋" w:hAnsi="仿宋" w:eastAsia="仿宋" w:cs="仿宋"/>
          <w:i w:val="0"/>
          <w:caps w:val="0"/>
          <w:color w:val="auto"/>
          <w:spacing w:val="0"/>
          <w:sz w:val="32"/>
          <w:szCs w:val="32"/>
          <w:u w:val="none"/>
          <w:shd w:val="clear" w:color="auto" w:fill="FFFFFF"/>
        </w:rPr>
        <w:t>占</w:t>
      </w:r>
      <w:r>
        <w:rPr>
          <w:rFonts w:hint="eastAsia" w:ascii="仿宋" w:hAnsi="仿宋" w:eastAsia="仿宋" w:cs="仿宋"/>
          <w:i w:val="0"/>
          <w:caps w:val="0"/>
          <w:color w:val="auto"/>
          <w:spacing w:val="0"/>
          <w:sz w:val="32"/>
          <w:szCs w:val="32"/>
          <w:u w:val="none"/>
          <w:shd w:val="clear" w:color="auto" w:fill="FFFFFF"/>
          <w:lang w:eastAsia="zh-CN"/>
        </w:rPr>
        <w:t>比</w:t>
      </w:r>
      <w:r>
        <w:rPr>
          <w:rFonts w:hint="eastAsia" w:ascii="仿宋" w:hAnsi="仿宋" w:eastAsia="仿宋" w:cs="仿宋"/>
          <w:i w:val="0"/>
          <w:caps w:val="0"/>
          <w:color w:val="auto"/>
          <w:spacing w:val="0"/>
          <w:sz w:val="32"/>
          <w:szCs w:val="32"/>
          <w:u w:val="none"/>
          <w:shd w:val="clear" w:color="auto" w:fill="FFFFFF"/>
          <w:lang w:val="en-US" w:eastAsia="zh-CN"/>
        </w:rPr>
        <w:t>7.58</w:t>
      </w:r>
      <w:r>
        <w:rPr>
          <w:rFonts w:hint="eastAsia" w:ascii="仿宋" w:hAnsi="仿宋" w:eastAsia="仿宋" w:cs="仿宋"/>
          <w:i w:val="0"/>
          <w:caps w:val="0"/>
          <w:color w:val="auto"/>
          <w:spacing w:val="0"/>
          <w:sz w:val="32"/>
          <w:szCs w:val="32"/>
          <w:u w:val="none"/>
          <w:shd w:val="clear" w:color="auto" w:fill="FFFFFF"/>
        </w:rPr>
        <w:t>%</w:t>
      </w:r>
      <w:r>
        <w:rPr>
          <w:rFonts w:hint="eastAsia" w:ascii="仿宋" w:hAnsi="仿宋" w:eastAsia="仿宋" w:cs="仿宋"/>
          <w:i w:val="0"/>
          <w:caps w:val="0"/>
          <w:color w:val="auto"/>
          <w:spacing w:val="0"/>
          <w:sz w:val="32"/>
          <w:szCs w:val="32"/>
          <w:u w:val="none"/>
          <w:shd w:val="clear" w:color="auto" w:fill="FFFFFF"/>
          <w:lang w:eastAsia="zh-CN"/>
        </w:rPr>
        <w:t>、</w:t>
      </w:r>
      <w:r>
        <w:rPr>
          <w:rFonts w:hint="eastAsia" w:ascii="仿宋" w:hAnsi="仿宋" w:eastAsia="仿宋" w:cs="仿宋"/>
          <w:i w:val="0"/>
          <w:caps w:val="0"/>
          <w:color w:val="auto"/>
          <w:spacing w:val="0"/>
          <w:sz w:val="32"/>
          <w:szCs w:val="32"/>
          <w:u w:val="none"/>
          <w:shd w:val="clear" w:color="auto" w:fill="FFFFFF"/>
          <w:lang w:val="en-US" w:eastAsia="zh-CN"/>
        </w:rPr>
        <w:t>卫生健康支出31.93占比3.62%、住房保障支出42.05万元占比4.77%。</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eastAsia="仿宋_GB2312"/>
          <w:bCs/>
          <w:color w:val="auto"/>
          <w:kern w:val="44"/>
          <w:sz w:val="32"/>
          <w:szCs w:val="32"/>
          <w:highlight w:val="none"/>
          <w:lang w:val="en-US" w:eastAsia="zh-CN"/>
        </w:rPr>
      </w:pPr>
      <w:r>
        <w:rPr>
          <w:rFonts w:hint="eastAsia" w:ascii="仿宋_GB2312"/>
          <w:bCs/>
          <w:color w:val="auto"/>
          <w:kern w:val="44"/>
          <w:sz w:val="32"/>
          <w:szCs w:val="32"/>
          <w:highlight w:val="none"/>
          <w:lang w:val="en-US" w:eastAsia="zh-CN"/>
        </w:rPr>
        <w:t>1.教育支出（类）</w:t>
      </w:r>
      <w:r>
        <w:rPr>
          <w:rFonts w:hint="eastAsia" w:ascii="仿宋_GB2312" w:hAnsi="仿宋_GB2312" w:eastAsia="仿宋_GB2312" w:cs="仿宋_GB2312"/>
          <w:bCs/>
          <w:color w:val="auto"/>
          <w:kern w:val="44"/>
          <w:sz w:val="32"/>
          <w:szCs w:val="32"/>
          <w:highlight w:val="none"/>
        </w:rPr>
        <w:t>。年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671.77</w:t>
      </w:r>
      <w:r>
        <w:rPr>
          <w:rFonts w:hint="eastAsia" w:ascii="仿宋_GB2312" w:hAnsi="仿宋_GB2312" w:eastAsia="仿宋_GB2312" w:cs="仿宋_GB2312"/>
          <w:bCs/>
          <w:color w:val="auto"/>
          <w:kern w:val="44"/>
          <w:sz w:val="32"/>
          <w:szCs w:val="32"/>
          <w:highlight w:val="none"/>
        </w:rPr>
        <w:t>万元，支出决算为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740.75</w:t>
      </w:r>
      <w:r>
        <w:rPr>
          <w:rFonts w:hint="eastAsia" w:ascii="仿宋_GB2312" w:hAnsi="仿宋_GB2312" w:eastAsia="仿宋_GB2312" w:cs="仿宋_GB2312"/>
          <w:bCs/>
          <w:color w:val="auto"/>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预算的</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110.27</w:t>
      </w:r>
      <w:r>
        <w:rPr>
          <w:rFonts w:hint="eastAsia" w:ascii="仿宋_GB2312" w:hAnsi="仿宋_GB2312" w:eastAsia="仿宋_GB2312" w:cs="仿宋_GB2312"/>
          <w:bCs/>
          <w:color w:val="auto"/>
          <w:kern w:val="44"/>
          <w:sz w:val="32"/>
          <w:szCs w:val="32"/>
          <w:highlight w:val="none"/>
        </w:rPr>
        <w:t>%，支出决算数</w:t>
      </w:r>
      <w:r>
        <w:rPr>
          <w:rFonts w:hint="eastAsia" w:ascii="仿宋_GB2312" w:hAnsi="仿宋_GB2312" w:eastAsia="仿宋_GB2312" w:cs="仿宋_GB2312"/>
          <w:bCs/>
          <w:color w:val="auto"/>
          <w:kern w:val="44"/>
          <w:sz w:val="32"/>
          <w:szCs w:val="32"/>
          <w:highlight w:val="none"/>
          <w:lang w:eastAsia="zh-CN"/>
        </w:rPr>
        <w:t>大</w:t>
      </w:r>
      <w:r>
        <w:rPr>
          <w:rFonts w:hint="eastAsia" w:ascii="仿宋_GB2312" w:hAnsi="仿宋_GB2312" w:eastAsia="仿宋_GB2312" w:cs="仿宋_GB2312"/>
          <w:bCs/>
          <w:color w:val="auto"/>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预算数的主要原因</w:t>
      </w:r>
      <w:r>
        <w:rPr>
          <w:rFonts w:hint="eastAsia" w:ascii="仿宋_GB2312" w:hAnsi="仿宋_GB2312" w:eastAsia="仿宋_GB2312" w:cs="仿宋_GB2312"/>
          <w:bCs/>
          <w:color w:val="auto"/>
          <w:kern w:val="44"/>
          <w:sz w:val="32"/>
          <w:szCs w:val="32"/>
          <w:highlight w:val="none"/>
          <w:lang w:eastAsia="zh-CN"/>
        </w:rPr>
        <w:t>：</w:t>
      </w:r>
      <w:r>
        <w:rPr>
          <w:rFonts w:hint="eastAsia" w:ascii="仿宋_GB2312" w:hAnsi="宋体"/>
          <w:bCs/>
          <w:sz w:val="32"/>
          <w:szCs w:val="32"/>
          <w:highlight w:val="none"/>
          <w:lang w:val="en-US" w:eastAsia="zh-CN"/>
        </w:rPr>
        <w:t>2022年按时发放本年度年终绩效奖金并补发2021年度年终绩效奖金，同时工资福利标准有所提高</w:t>
      </w:r>
      <w:r>
        <w:rPr>
          <w:rFonts w:hint="eastAsia" w:ascii="仿宋_GB2312" w:hAnsi="仿宋_GB2312" w:eastAsia="仿宋_GB2312" w:cs="仿宋_GB2312"/>
          <w:bCs/>
          <w:color w:val="auto"/>
          <w:kern w:val="44"/>
          <w:sz w:val="32"/>
          <w:szCs w:val="32"/>
          <w:highlight w:val="none"/>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.社会保障支出</w:t>
      </w:r>
      <w:r>
        <w:rPr>
          <w:rFonts w:hint="eastAsia" w:ascii="仿宋_GB2312"/>
          <w:bCs/>
          <w:color w:val="auto"/>
          <w:kern w:val="44"/>
          <w:sz w:val="32"/>
          <w:szCs w:val="32"/>
          <w:highlight w:val="none"/>
          <w:lang w:val="en-US" w:eastAsia="zh-CN"/>
        </w:rPr>
        <w:t>（类）</w:t>
      </w:r>
      <w:r>
        <w:rPr>
          <w:rFonts w:hint="eastAsia" w:ascii="仿宋_GB2312" w:hAnsi="仿宋_GB2312" w:eastAsia="仿宋_GB2312" w:cs="仿宋_GB2312"/>
          <w:bCs/>
          <w:color w:val="auto"/>
          <w:kern w:val="44"/>
          <w:sz w:val="32"/>
          <w:szCs w:val="32"/>
          <w:highlight w:val="none"/>
        </w:rPr>
        <w:t>。年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56.28</w:t>
      </w:r>
      <w:r>
        <w:rPr>
          <w:rFonts w:hint="eastAsia" w:ascii="仿宋_GB2312" w:hAnsi="仿宋_GB2312" w:eastAsia="仿宋_GB2312" w:cs="仿宋_GB2312"/>
          <w:bCs/>
          <w:color w:val="auto"/>
          <w:kern w:val="44"/>
          <w:sz w:val="32"/>
          <w:szCs w:val="32"/>
          <w:highlight w:val="none"/>
        </w:rPr>
        <w:t>万元，支出决算为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66.83</w:t>
      </w:r>
      <w:r>
        <w:rPr>
          <w:rFonts w:hint="eastAsia" w:ascii="仿宋_GB2312" w:hAnsi="仿宋_GB2312" w:eastAsia="仿宋_GB2312" w:cs="仿宋_GB2312"/>
          <w:bCs/>
          <w:color w:val="auto"/>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预算的</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118.75</w:t>
      </w:r>
      <w:r>
        <w:rPr>
          <w:rFonts w:hint="eastAsia" w:ascii="仿宋_GB2312" w:hAnsi="仿宋_GB2312" w:eastAsia="仿宋_GB2312" w:cs="仿宋_GB2312"/>
          <w:bCs/>
          <w:color w:val="auto"/>
          <w:kern w:val="44"/>
          <w:sz w:val="32"/>
          <w:szCs w:val="32"/>
          <w:highlight w:val="none"/>
        </w:rPr>
        <w:t>%，支出决算数</w:t>
      </w:r>
      <w:r>
        <w:rPr>
          <w:rFonts w:hint="eastAsia" w:ascii="仿宋_GB2312" w:hAnsi="仿宋_GB2312" w:eastAsia="仿宋_GB2312" w:cs="仿宋_GB2312"/>
          <w:bCs/>
          <w:color w:val="auto"/>
          <w:kern w:val="44"/>
          <w:sz w:val="32"/>
          <w:szCs w:val="32"/>
          <w:highlight w:val="none"/>
          <w:lang w:eastAsia="zh-CN"/>
        </w:rPr>
        <w:t>大</w:t>
      </w:r>
      <w:r>
        <w:rPr>
          <w:rFonts w:hint="eastAsia" w:ascii="仿宋_GB2312" w:hAnsi="仿宋_GB2312" w:eastAsia="仿宋_GB2312" w:cs="仿宋_GB2312"/>
          <w:bCs/>
          <w:color w:val="auto"/>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预算数的主要原因</w:t>
      </w:r>
      <w:r>
        <w:rPr>
          <w:rFonts w:hint="eastAsia" w:ascii="仿宋_GB2312" w:hAnsi="仿宋_GB2312" w:eastAsia="仿宋_GB2312" w:cs="仿宋_GB2312"/>
          <w:bCs/>
          <w:color w:val="auto"/>
          <w:kern w:val="44"/>
          <w:sz w:val="32"/>
          <w:szCs w:val="32"/>
          <w:highlight w:val="none"/>
          <w:lang w:eastAsia="zh-CN"/>
        </w:rPr>
        <w:t>：</w:t>
      </w:r>
      <w:r>
        <w:rPr>
          <w:rFonts w:hint="eastAsia" w:ascii="仿宋_GB2312" w:hAnsi="宋体"/>
          <w:bCs/>
          <w:sz w:val="32"/>
          <w:szCs w:val="32"/>
          <w:highlight w:val="none"/>
          <w:lang w:val="en-US" w:eastAsia="zh-CN"/>
        </w:rPr>
        <w:t>工资福利标准有所提高</w:t>
      </w:r>
      <w:r>
        <w:rPr>
          <w:rFonts w:hint="eastAsia" w:ascii="仿宋_GB2312" w:hAnsi="仿宋_GB2312" w:eastAsia="仿宋_GB2312" w:cs="仿宋_GB2312"/>
          <w:bCs/>
          <w:color w:val="auto"/>
          <w:kern w:val="44"/>
          <w:sz w:val="32"/>
          <w:szCs w:val="32"/>
          <w:highlight w:val="none"/>
        </w:rPr>
        <w:t>。</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bCs/>
          <w:color w:val="auto"/>
          <w:kern w:val="44"/>
          <w:sz w:val="32"/>
          <w:szCs w:val="32"/>
          <w:highlight w:val="none"/>
        </w:rPr>
      </w:pPr>
      <w:r>
        <w:rPr>
          <w:rFonts w:hint="eastAsia" w:ascii="仿宋_GB2312" w:hAnsi="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zh-CN" w:bidi="ar"/>
        </w:rPr>
        <w:t>.卫生健康支出</w:t>
      </w:r>
      <w:r>
        <w:rPr>
          <w:rFonts w:hint="eastAsia" w:ascii="仿宋_GB2312"/>
          <w:bCs/>
          <w:color w:val="auto"/>
          <w:kern w:val="44"/>
          <w:sz w:val="32"/>
          <w:szCs w:val="32"/>
          <w:highlight w:val="none"/>
          <w:lang w:val="en-US" w:eastAsia="zh-CN"/>
        </w:rPr>
        <w:t>（类）</w:t>
      </w:r>
      <w:r>
        <w:rPr>
          <w:rFonts w:hint="eastAsia" w:ascii="仿宋_GB2312" w:hAnsi="仿宋_GB2312" w:eastAsia="仿宋_GB2312" w:cs="仿宋_GB2312"/>
          <w:bCs/>
          <w:color w:val="auto"/>
          <w:kern w:val="44"/>
          <w:sz w:val="32"/>
          <w:szCs w:val="32"/>
          <w:highlight w:val="none"/>
        </w:rPr>
        <w:t>。年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31.66</w:t>
      </w:r>
      <w:r>
        <w:rPr>
          <w:rFonts w:hint="eastAsia" w:ascii="仿宋_GB2312" w:hAnsi="仿宋_GB2312" w:eastAsia="仿宋_GB2312" w:cs="仿宋_GB2312"/>
          <w:bCs/>
          <w:color w:val="auto"/>
          <w:kern w:val="44"/>
          <w:sz w:val="32"/>
          <w:szCs w:val="32"/>
          <w:highlight w:val="none"/>
        </w:rPr>
        <w:t>万元，支出决算为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31.93</w:t>
      </w:r>
      <w:r>
        <w:rPr>
          <w:rFonts w:hint="eastAsia" w:ascii="仿宋_GB2312" w:hAnsi="仿宋_GB2312" w:eastAsia="仿宋_GB2312" w:cs="仿宋_GB2312"/>
          <w:bCs/>
          <w:color w:val="auto"/>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预算的</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100.85</w:t>
      </w:r>
      <w:r>
        <w:rPr>
          <w:rFonts w:hint="eastAsia" w:ascii="仿宋_GB2312" w:hAnsi="仿宋_GB2312" w:eastAsia="仿宋_GB2312" w:cs="仿宋_GB2312"/>
          <w:bCs/>
          <w:color w:val="auto"/>
          <w:kern w:val="44"/>
          <w:sz w:val="32"/>
          <w:szCs w:val="32"/>
          <w:highlight w:val="none"/>
        </w:rPr>
        <w:t>%，支出决算数</w:t>
      </w:r>
      <w:r>
        <w:rPr>
          <w:rFonts w:hint="eastAsia" w:ascii="仿宋_GB2312" w:hAnsi="仿宋_GB2312" w:eastAsia="仿宋_GB2312" w:cs="仿宋_GB2312"/>
          <w:bCs/>
          <w:color w:val="auto"/>
          <w:kern w:val="44"/>
          <w:sz w:val="32"/>
          <w:szCs w:val="32"/>
          <w:highlight w:val="none"/>
          <w:lang w:eastAsia="zh-CN"/>
        </w:rPr>
        <w:t>大</w:t>
      </w:r>
      <w:r>
        <w:rPr>
          <w:rFonts w:hint="eastAsia" w:ascii="仿宋_GB2312" w:hAnsi="仿宋_GB2312" w:eastAsia="仿宋_GB2312" w:cs="仿宋_GB2312"/>
          <w:bCs/>
          <w:color w:val="auto"/>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预算数的主要原因</w:t>
      </w:r>
      <w:r>
        <w:rPr>
          <w:rFonts w:hint="eastAsia" w:ascii="仿宋_GB2312" w:hAnsi="仿宋_GB2312" w:eastAsia="仿宋_GB2312" w:cs="仿宋_GB2312"/>
          <w:bCs/>
          <w:color w:val="auto"/>
          <w:kern w:val="44"/>
          <w:sz w:val="32"/>
          <w:szCs w:val="32"/>
          <w:highlight w:val="none"/>
          <w:lang w:eastAsia="zh-CN"/>
        </w:rPr>
        <w:t>：</w:t>
      </w:r>
      <w:r>
        <w:rPr>
          <w:rFonts w:hint="eastAsia" w:ascii="仿宋_GB2312" w:hAnsi="宋体"/>
          <w:bCs/>
          <w:sz w:val="32"/>
          <w:szCs w:val="32"/>
          <w:highlight w:val="none"/>
          <w:lang w:val="en-US" w:eastAsia="zh-CN"/>
        </w:rPr>
        <w:t>工资福利标准有所提高</w:t>
      </w:r>
      <w:r>
        <w:rPr>
          <w:rFonts w:hint="eastAsia" w:ascii="仿宋_GB2312" w:hAnsi="仿宋_GB2312" w:eastAsia="仿宋_GB2312" w:cs="仿宋_GB2312"/>
          <w:bCs/>
          <w:color w:val="auto"/>
          <w:kern w:val="44"/>
          <w:sz w:val="32"/>
          <w:szCs w:val="32"/>
          <w:highlight w:val="none"/>
        </w:rPr>
        <w:t>。</w:t>
      </w:r>
    </w:p>
    <w:p>
      <w:pPr>
        <w:pageBreakBefore w:val="0"/>
        <w:widowControl w:val="0"/>
        <w:numPr>
          <w:ilvl w:val="0"/>
          <w:numId w:val="0"/>
        </w:numPr>
        <w:kinsoku/>
        <w:wordWrap/>
        <w:overflowPunct/>
        <w:topLinePunct w:val="0"/>
        <w:bidi w:val="0"/>
        <w:adjustRightInd w:val="0"/>
        <w:snapToGrid w:val="0"/>
        <w:spacing w:line="240" w:lineRule="auto"/>
        <w:ind w:firstLine="640" w:firstLineChars="200"/>
        <w:textAlignment w:val="auto"/>
        <w:rPr>
          <w:rFonts w:hint="eastAsia" w:ascii="仿宋_GB2312" w:hAnsi="仿宋_GB2312" w:eastAsia="仿宋_GB2312" w:cs="仿宋_GB2312"/>
          <w:bCs/>
          <w:color w:val="auto"/>
          <w:kern w:val="44"/>
          <w:sz w:val="32"/>
          <w:szCs w:val="32"/>
          <w:highlight w:val="none"/>
          <w:lang w:val="en-US" w:eastAsia="zh-CN"/>
        </w:rPr>
      </w:pPr>
      <w:r>
        <w:rPr>
          <w:rFonts w:hint="eastAsia" w:ascii="仿宋_GB2312" w:hAnsi="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val="en-US" w:eastAsia="zh-CN" w:bidi="ar"/>
        </w:rPr>
        <w:t>.住房保障支出</w:t>
      </w:r>
      <w:r>
        <w:rPr>
          <w:rFonts w:hint="eastAsia" w:ascii="仿宋_GB2312"/>
          <w:bCs/>
          <w:color w:val="auto"/>
          <w:kern w:val="44"/>
          <w:sz w:val="32"/>
          <w:szCs w:val="32"/>
          <w:highlight w:val="none"/>
          <w:lang w:val="en-US" w:eastAsia="zh-CN"/>
        </w:rPr>
        <w:t>（类）</w:t>
      </w:r>
      <w:r>
        <w:rPr>
          <w:rFonts w:hint="eastAsia" w:ascii="仿宋_GB2312" w:hAnsi="仿宋_GB2312" w:eastAsia="仿宋_GB2312" w:cs="仿宋_GB2312"/>
          <w:bCs/>
          <w:color w:val="auto"/>
          <w:kern w:val="44"/>
          <w:sz w:val="32"/>
          <w:szCs w:val="32"/>
          <w:highlight w:val="none"/>
        </w:rPr>
        <w:t>。年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42.21</w:t>
      </w:r>
      <w:r>
        <w:rPr>
          <w:rFonts w:hint="eastAsia" w:ascii="仿宋_GB2312" w:hAnsi="仿宋_GB2312" w:eastAsia="仿宋_GB2312" w:cs="仿宋_GB2312"/>
          <w:bCs/>
          <w:color w:val="auto"/>
          <w:kern w:val="44"/>
          <w:sz w:val="32"/>
          <w:szCs w:val="32"/>
          <w:highlight w:val="none"/>
        </w:rPr>
        <w:t>万元，支出决算为</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42.05</w:t>
      </w:r>
      <w:r>
        <w:rPr>
          <w:rFonts w:hint="eastAsia" w:ascii="仿宋_GB2312" w:hAnsi="仿宋_GB2312" w:eastAsia="仿宋_GB2312" w:cs="仿宋_GB2312"/>
          <w:bCs/>
          <w:color w:val="auto"/>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预算的</w:t>
      </w:r>
      <w:r>
        <w:rPr>
          <w:rFonts w:hint="eastAsia" w:ascii="仿宋_GB2312" w:hAnsi="仿宋_GB2312" w:eastAsia="仿宋_GB2312" w:cs="仿宋_GB2312"/>
          <w:bCs/>
          <w:color w:val="auto"/>
          <w:kern w:val="44"/>
          <w:sz w:val="32"/>
          <w:szCs w:val="32"/>
          <w:highlight w:val="none"/>
          <w:u w:val="single"/>
        </w:rPr>
        <w:t xml:space="preserve"> </w:t>
      </w:r>
      <w:r>
        <w:rPr>
          <w:rFonts w:hint="eastAsia" w:ascii="仿宋_GB2312" w:hAnsi="仿宋_GB2312" w:cs="仿宋_GB2312"/>
          <w:bCs/>
          <w:color w:val="auto"/>
          <w:kern w:val="44"/>
          <w:sz w:val="32"/>
          <w:szCs w:val="32"/>
          <w:highlight w:val="none"/>
          <w:u w:val="single"/>
          <w:lang w:val="en-US" w:eastAsia="zh-CN"/>
        </w:rPr>
        <w:t>99.62</w:t>
      </w:r>
      <w:r>
        <w:rPr>
          <w:rFonts w:hint="eastAsia" w:ascii="仿宋_GB2312" w:hAnsi="仿宋_GB2312" w:eastAsia="仿宋_GB2312" w:cs="仿宋_GB2312"/>
          <w:bCs/>
          <w:color w:val="auto"/>
          <w:kern w:val="44"/>
          <w:sz w:val="32"/>
          <w:szCs w:val="32"/>
          <w:highlight w:val="none"/>
        </w:rPr>
        <w:t>%，支出决算数</w:t>
      </w:r>
      <w:r>
        <w:rPr>
          <w:rFonts w:hint="eastAsia" w:ascii="仿宋_GB2312" w:hAnsi="仿宋_GB2312" w:cs="仿宋_GB2312"/>
          <w:bCs/>
          <w:color w:val="auto"/>
          <w:kern w:val="44"/>
          <w:sz w:val="32"/>
          <w:szCs w:val="32"/>
          <w:highlight w:val="none"/>
          <w:lang w:val="en-US" w:eastAsia="zh-CN"/>
        </w:rPr>
        <w:t>小</w:t>
      </w:r>
      <w:r>
        <w:rPr>
          <w:rFonts w:hint="eastAsia" w:ascii="仿宋_GB2312" w:hAnsi="仿宋_GB2312" w:eastAsia="仿宋_GB2312" w:cs="仿宋_GB2312"/>
          <w:bCs/>
          <w:color w:val="auto"/>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color w:val="auto"/>
          <w:kern w:val="44"/>
          <w:sz w:val="32"/>
          <w:szCs w:val="32"/>
          <w:highlight w:val="none"/>
        </w:rPr>
        <w:t>预算数的主要原因</w:t>
      </w:r>
      <w:r>
        <w:rPr>
          <w:rFonts w:hint="eastAsia" w:ascii="仿宋_GB2312" w:hAnsi="仿宋_GB2312" w:eastAsia="仿宋_GB2312" w:cs="仿宋_GB2312"/>
          <w:bCs/>
          <w:color w:val="auto"/>
          <w:kern w:val="44"/>
          <w:sz w:val="32"/>
          <w:szCs w:val="32"/>
          <w:highlight w:val="none"/>
          <w:lang w:eastAsia="zh-CN"/>
        </w:rPr>
        <w:t>：</w:t>
      </w:r>
      <w:r>
        <w:rPr>
          <w:rFonts w:hint="eastAsia" w:ascii="仿宋_GB2312" w:hAnsi="仿宋_GB2312" w:cs="仿宋_GB2312"/>
          <w:bCs/>
          <w:color w:val="auto"/>
          <w:kern w:val="44"/>
          <w:sz w:val="32"/>
          <w:szCs w:val="32"/>
          <w:highlight w:val="none"/>
          <w:lang w:val="en-US" w:eastAsia="zh-CN"/>
        </w:rPr>
        <w:t>级别高的教师退休，新入职老师住房保障支出低于退休教师</w:t>
      </w:r>
      <w:r>
        <w:rPr>
          <w:rFonts w:hint="eastAsia" w:ascii="仿宋_GB2312" w:hAnsi="仿宋_GB2312" w:eastAsia="仿宋_GB2312" w:cs="仿宋_GB2312"/>
          <w:bCs/>
          <w:color w:val="auto"/>
          <w:kern w:val="44"/>
          <w:sz w:val="32"/>
          <w:szCs w:val="32"/>
          <w:highlight w:val="none"/>
        </w:rPr>
        <w:t>。</w:t>
      </w:r>
    </w:p>
    <w:p>
      <w:pPr>
        <w:bidi w:val="0"/>
        <w:spacing w:line="240" w:lineRule="auto"/>
        <w:ind w:firstLine="640" w:firstLineChars="200"/>
        <w:rPr>
          <w:rFonts w:hint="eastAsia"/>
          <w:color w:val="auto"/>
          <w:lang w:val="en-US" w:eastAsia="zh-CN"/>
        </w:rPr>
      </w:pPr>
      <w:r>
        <w:rPr>
          <w:rFonts w:hint="eastAsia" w:ascii="黑体" w:hAnsi="黑体" w:eastAsia="黑体" w:cs="黑体"/>
          <w:color w:val="auto"/>
          <w:lang w:val="en-US" w:eastAsia="zh-CN"/>
        </w:rPr>
        <w:t>六、一般公共预算财政拨款基本支出决算情况说明</w:t>
      </w:r>
    </w:p>
    <w:p>
      <w:pPr>
        <w:bidi w:val="0"/>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w:t>
      </w:r>
      <w:r>
        <w:rPr>
          <w:rFonts w:hint="eastAsia" w:ascii="仿宋_GB2312" w:hAnsi="仿宋_GB2312" w:cs="仿宋_GB2312"/>
          <w:color w:val="auto"/>
          <w:lang w:val="en-US" w:eastAsia="zh-CN"/>
        </w:rPr>
        <w:t>2</w:t>
      </w:r>
      <w:r>
        <w:rPr>
          <w:rFonts w:hint="eastAsia" w:ascii="仿宋_GB2312" w:hAnsi="仿宋_GB2312" w:eastAsia="仿宋_GB2312" w:cs="仿宋_GB2312"/>
          <w:color w:val="auto"/>
          <w:lang w:val="en-US" w:eastAsia="zh-CN"/>
        </w:rPr>
        <w:t>年度一般公共预算财政拨款基本支出</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881.56</w:t>
      </w:r>
      <w:r>
        <w:rPr>
          <w:rFonts w:hint="eastAsia" w:ascii="仿宋_GB2312" w:hAnsi="仿宋_GB2312" w:eastAsia="仿宋_GB2312" w:cs="仿宋_GB2312"/>
          <w:color w:val="auto"/>
          <w:lang w:val="en-US" w:eastAsia="zh-CN"/>
        </w:rPr>
        <w:t>万元，其中：</w:t>
      </w:r>
    </w:p>
    <w:p>
      <w:pPr>
        <w:bidi w:val="0"/>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人员经费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811.01</w:t>
      </w:r>
      <w:r>
        <w:rPr>
          <w:rFonts w:hint="eastAsia" w:ascii="仿宋_GB2312" w:hAnsi="仿宋_GB2312" w:eastAsia="仿宋_GB2312" w:cs="仿宋_GB2312"/>
          <w:color w:val="auto"/>
          <w:lang w:val="en-US" w:eastAsia="zh-CN"/>
        </w:rPr>
        <w:t>万元，主要包括：基本工资</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204.45</w:t>
      </w:r>
      <w:r>
        <w:rPr>
          <w:rFonts w:hint="eastAsia" w:ascii="仿宋_GB2312" w:hAnsi="仿宋_GB2312" w:eastAsia="仿宋_GB2312" w:cs="仿宋_GB2312"/>
          <w:color w:val="auto"/>
          <w:lang w:val="en-US" w:eastAsia="zh-CN"/>
        </w:rPr>
        <w:t>万元、津贴补贴</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90.1</w:t>
      </w:r>
      <w:r>
        <w:rPr>
          <w:rFonts w:hint="eastAsia" w:ascii="仿宋_GB2312" w:hAnsi="仿宋_GB2312" w:eastAsia="仿宋_GB2312" w:cs="仿宋_GB2312"/>
          <w:color w:val="auto"/>
          <w:lang w:val="en-US" w:eastAsia="zh-CN"/>
        </w:rPr>
        <w:t>万元、奖金</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171.33</w:t>
      </w:r>
      <w:r>
        <w:rPr>
          <w:rFonts w:hint="eastAsia" w:ascii="仿宋_GB2312" w:hAnsi="仿宋_GB2312" w:eastAsia="仿宋_GB2312" w:cs="仿宋_GB2312"/>
          <w:color w:val="auto"/>
          <w:lang w:val="en-US" w:eastAsia="zh-CN"/>
        </w:rPr>
        <w:t>万元、绩效工资</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94.43</w:t>
      </w:r>
      <w:r>
        <w:rPr>
          <w:rFonts w:hint="eastAsia" w:ascii="仿宋_GB2312" w:hAnsi="仿宋_GB2312" w:eastAsia="仿宋_GB2312" w:cs="仿宋_GB2312"/>
          <w:color w:val="auto"/>
          <w:lang w:val="en-US" w:eastAsia="zh-CN"/>
        </w:rPr>
        <w:t>万元、机关事业单位基本养老保险缴费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55.9</w:t>
      </w:r>
      <w:r>
        <w:rPr>
          <w:rFonts w:hint="eastAsia" w:ascii="仿宋_GB2312" w:hAnsi="仿宋_GB2312" w:eastAsia="仿宋_GB2312" w:cs="仿宋_GB2312"/>
          <w:color w:val="auto"/>
          <w:lang w:val="en-US" w:eastAsia="zh-CN"/>
        </w:rPr>
        <w:t>万元、职业年金缴费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10.93</w:t>
      </w:r>
      <w:r>
        <w:rPr>
          <w:rFonts w:hint="eastAsia" w:ascii="仿宋_GB2312" w:hAnsi="仿宋_GB2312" w:eastAsia="仿宋_GB2312" w:cs="仿宋_GB2312"/>
          <w:color w:val="auto"/>
          <w:lang w:val="en-US" w:eastAsia="zh-CN"/>
        </w:rPr>
        <w:t>万元、职工基本医疗保险缴费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31.93</w:t>
      </w:r>
      <w:r>
        <w:rPr>
          <w:rFonts w:hint="eastAsia" w:ascii="仿宋_GB2312" w:hAnsi="仿宋_GB2312" w:eastAsia="仿宋_GB2312" w:cs="仿宋_GB2312"/>
          <w:color w:val="auto"/>
          <w:lang w:val="en-US" w:eastAsia="zh-CN"/>
        </w:rPr>
        <w:t>万元、住房公积金</w:t>
      </w:r>
      <w:r>
        <w:rPr>
          <w:rFonts w:hint="eastAsia" w:ascii="仿宋_GB2312" w:hAnsi="仿宋_GB2312" w:cs="仿宋_GB2312"/>
          <w:color w:val="auto"/>
          <w:u w:val="single"/>
          <w:lang w:val="en-US" w:eastAsia="zh-CN"/>
        </w:rPr>
        <w:t>42.05</w:t>
      </w:r>
      <w:r>
        <w:rPr>
          <w:rFonts w:hint="eastAsia" w:ascii="仿宋_GB2312" w:hAnsi="仿宋_GB2312" w:eastAsia="仿宋_GB2312" w:cs="仿宋_GB2312"/>
          <w:color w:val="auto"/>
          <w:lang w:val="en-US" w:eastAsia="zh-CN"/>
        </w:rPr>
        <w:t>万元、其他工资福利支出</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50.52</w:t>
      </w:r>
      <w:r>
        <w:rPr>
          <w:rFonts w:hint="eastAsia" w:ascii="仿宋_GB2312" w:hAnsi="仿宋_GB2312" w:eastAsia="仿宋_GB2312" w:cs="仿宋_GB2312"/>
          <w:color w:val="auto"/>
          <w:lang w:val="en-US" w:eastAsia="zh-CN"/>
        </w:rPr>
        <w:t>万元、生活补助</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15.38</w:t>
      </w:r>
      <w:r>
        <w:rPr>
          <w:rFonts w:hint="eastAsia" w:ascii="仿宋_GB2312" w:hAnsi="仿宋_GB2312" w:eastAsia="仿宋_GB2312" w:cs="仿宋_GB2312"/>
          <w:color w:val="auto"/>
          <w:lang w:val="en-US" w:eastAsia="zh-CN"/>
        </w:rPr>
        <w:t>万元、助学金</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43.98</w:t>
      </w:r>
      <w:r>
        <w:rPr>
          <w:rFonts w:hint="eastAsia" w:ascii="仿宋_GB2312" w:hAnsi="仿宋_GB2312" w:eastAsia="仿宋_GB2312" w:cs="仿宋_GB2312"/>
          <w:color w:val="auto"/>
          <w:lang w:val="en-US" w:eastAsia="zh-CN"/>
        </w:rPr>
        <w:t>万元。</w:t>
      </w:r>
    </w:p>
    <w:p>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auto"/>
          <w:lang w:val="en-US" w:eastAsia="zh-CN"/>
        </w:rPr>
        <w:t>公用经费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70.55</w:t>
      </w:r>
      <w:r>
        <w:rPr>
          <w:rFonts w:hint="eastAsia" w:ascii="仿宋_GB2312" w:hAnsi="仿宋_GB2312" w:eastAsia="仿宋_GB2312" w:cs="仿宋_GB2312"/>
          <w:color w:val="auto"/>
          <w:lang w:val="en-US" w:eastAsia="zh-CN"/>
        </w:rPr>
        <w:t>万元，主要包括：办公费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17.34</w:t>
      </w:r>
      <w:r>
        <w:rPr>
          <w:rFonts w:hint="eastAsia" w:ascii="仿宋_GB2312" w:hAnsi="仿宋_GB2312" w:eastAsia="仿宋_GB2312" w:cs="仿宋_GB2312"/>
          <w:color w:val="auto"/>
          <w:lang w:val="en-US" w:eastAsia="zh-CN"/>
        </w:rPr>
        <w:t>万元、水费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4.23</w:t>
      </w:r>
      <w:r>
        <w:rPr>
          <w:rFonts w:hint="eastAsia" w:ascii="仿宋_GB2312" w:hAnsi="仿宋_GB2312" w:eastAsia="仿宋_GB2312" w:cs="仿宋_GB2312"/>
          <w:color w:val="auto"/>
          <w:lang w:val="en-US" w:eastAsia="zh-CN"/>
        </w:rPr>
        <w:t>万元、电费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1.42</w:t>
      </w:r>
      <w:r>
        <w:rPr>
          <w:rFonts w:hint="eastAsia" w:ascii="仿宋_GB2312" w:hAnsi="仿宋_GB2312" w:eastAsia="仿宋_GB2312" w:cs="仿宋_GB2312"/>
          <w:color w:val="auto"/>
          <w:lang w:val="en-US" w:eastAsia="zh-CN"/>
        </w:rPr>
        <w:t>万元、邮电费</w:t>
      </w:r>
      <w:r>
        <w:rPr>
          <w:rFonts w:hint="eastAsia" w:ascii="仿宋_GB2312" w:hAnsi="仿宋_GB2312" w:eastAsia="仿宋_GB2312" w:cs="仿宋_GB2312"/>
          <w:color w:val="auto"/>
          <w:u w:val="single"/>
          <w:lang w:val="en-US" w:eastAsia="zh-CN"/>
        </w:rPr>
        <w:t xml:space="preserve"> </w:t>
      </w:r>
      <w:r>
        <w:rPr>
          <w:rFonts w:hint="eastAsia" w:ascii="仿宋_GB2312" w:hAnsi="仿宋_GB2312" w:cs="仿宋_GB2312"/>
          <w:color w:val="auto"/>
          <w:u w:val="single"/>
          <w:lang w:val="en-US" w:eastAsia="zh-CN"/>
        </w:rPr>
        <w:t>4.23</w:t>
      </w:r>
      <w:r>
        <w:rPr>
          <w:rFonts w:hint="eastAsia" w:ascii="仿宋_GB2312" w:hAnsi="仿宋_GB2312" w:eastAsia="仿宋_GB2312" w:cs="仿宋_GB2312"/>
          <w:color w:val="auto"/>
          <w:lang w:val="en-US" w:eastAsia="zh-CN"/>
        </w:rPr>
        <w:t>万元、</w:t>
      </w:r>
      <w:r>
        <w:rPr>
          <w:rFonts w:hint="eastAsia" w:ascii="仿宋_GB2312" w:hAnsi="仿宋_GB2312" w:eastAsia="仿宋_GB2312" w:cs="仿宋_GB2312"/>
          <w:lang w:val="en-US" w:eastAsia="zh-CN"/>
        </w:rPr>
        <w:t>差旅费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0.39</w:t>
      </w:r>
      <w:r>
        <w:rPr>
          <w:rFonts w:hint="eastAsia" w:ascii="仿宋_GB2312" w:hAnsi="仿宋_GB2312" w:eastAsia="仿宋_GB2312" w:cs="仿宋_GB2312"/>
          <w:lang w:val="en-US" w:eastAsia="zh-CN"/>
        </w:rPr>
        <w:t>万元、维修(护)费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12.57</w:t>
      </w:r>
      <w:r>
        <w:rPr>
          <w:rFonts w:hint="eastAsia" w:ascii="仿宋_GB2312" w:hAnsi="仿宋_GB2312" w:eastAsia="仿宋_GB2312" w:cs="仿宋_GB2312"/>
          <w:lang w:val="en-US" w:eastAsia="zh-CN"/>
        </w:rPr>
        <w:t>万元、会议费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1</w:t>
      </w:r>
      <w:r>
        <w:rPr>
          <w:rFonts w:hint="eastAsia" w:ascii="仿宋_GB2312" w:hAnsi="仿宋_GB2312" w:eastAsia="仿宋_GB2312" w:cs="仿宋_GB2312"/>
          <w:lang w:val="en-US" w:eastAsia="zh-CN"/>
        </w:rPr>
        <w:t>万元、培训费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3.53</w:t>
      </w:r>
      <w:r>
        <w:rPr>
          <w:rFonts w:hint="eastAsia" w:ascii="仿宋_GB2312" w:hAnsi="仿宋_GB2312" w:eastAsia="仿宋_GB2312" w:cs="仿宋_GB2312"/>
          <w:lang w:val="en-US" w:eastAsia="zh-CN"/>
        </w:rPr>
        <w:t>万元、公务接待费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0.57</w:t>
      </w:r>
      <w:r>
        <w:rPr>
          <w:rFonts w:hint="eastAsia" w:ascii="仿宋_GB2312" w:hAnsi="仿宋_GB2312" w:eastAsia="仿宋_GB2312" w:cs="仿宋_GB2312"/>
          <w:lang w:val="en-US" w:eastAsia="zh-CN"/>
        </w:rPr>
        <w:t>万元、劳务费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3.74</w:t>
      </w:r>
      <w:r>
        <w:rPr>
          <w:rFonts w:hint="eastAsia" w:ascii="仿宋_GB2312" w:hAnsi="仿宋_GB2312" w:eastAsia="仿宋_GB2312" w:cs="仿宋_GB2312"/>
          <w:lang w:val="en-US" w:eastAsia="zh-CN"/>
        </w:rPr>
        <w:t>万元、工会经费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7.61</w:t>
      </w:r>
      <w:r>
        <w:rPr>
          <w:rFonts w:hint="eastAsia" w:ascii="仿宋_GB2312" w:hAnsi="仿宋_GB2312" w:eastAsia="仿宋_GB2312" w:cs="仿宋_GB2312"/>
          <w:lang w:val="en-US" w:eastAsia="zh-CN"/>
        </w:rPr>
        <w:t>万元、福利费</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4</w:t>
      </w:r>
      <w:r>
        <w:rPr>
          <w:rFonts w:hint="eastAsia" w:ascii="仿宋_GB2312" w:hAnsi="仿宋_GB2312" w:eastAsia="仿宋_GB2312" w:cs="仿宋_GB2312"/>
          <w:lang w:val="en-US" w:eastAsia="zh-CN"/>
        </w:rPr>
        <w:t>万元、其他交通费用</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2.98</w:t>
      </w:r>
      <w:r>
        <w:rPr>
          <w:rFonts w:hint="eastAsia" w:ascii="仿宋_GB2312" w:hAnsi="仿宋_GB2312" w:eastAsia="仿宋_GB2312" w:cs="仿宋_GB2312"/>
          <w:lang w:val="en-US" w:eastAsia="zh-CN"/>
        </w:rPr>
        <w:t>万元、其他商品和服务支出</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6.95</w:t>
      </w:r>
      <w:r>
        <w:rPr>
          <w:rFonts w:hint="eastAsia" w:ascii="仿宋_GB2312" w:hAnsi="仿宋_GB2312" w:eastAsia="仿宋_GB2312" w:cs="仿宋_GB2312"/>
          <w:lang w:val="en-US" w:eastAsia="zh-CN"/>
        </w:rPr>
        <w:t>万元。</w:t>
      </w:r>
    </w:p>
    <w:p>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 xml:space="preserve">七、一般公共预算财政拨款“三公”经费支出决算情况说明 </w:t>
      </w:r>
    </w:p>
    <w:p>
      <w:pPr>
        <w:numPr>
          <w:ilvl w:val="0"/>
          <w:numId w:val="0"/>
        </w:numPr>
        <w:bidi w:val="0"/>
        <w:ind w:left="640" w:leftChars="200" w:firstLine="0" w:firstLineChars="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pPr>
        <w:numPr>
          <w:ilvl w:val="0"/>
          <w:numId w:val="0"/>
        </w:num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年度“三公”经费财政拨款支出预算为</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0.6</w:t>
      </w:r>
      <w:r>
        <w:rPr>
          <w:rFonts w:hint="eastAsia" w:ascii="仿宋_GB2312" w:hAnsi="仿宋_GB2312" w:eastAsia="仿宋_GB2312" w:cs="仿宋_GB2312"/>
          <w:lang w:val="en-US" w:eastAsia="zh-CN"/>
        </w:rPr>
        <w:t>万元，支出决算为</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0.57</w:t>
      </w:r>
      <w:r>
        <w:rPr>
          <w:rFonts w:hint="eastAsia" w:ascii="仿宋_GB2312" w:hAnsi="仿宋_GB2312" w:eastAsia="仿宋_GB2312" w:cs="仿宋_GB2312"/>
          <w:lang w:val="en-US" w:eastAsia="zh-CN"/>
        </w:rPr>
        <w:t>万元，完成预算的</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95</w:t>
      </w:r>
      <w:r>
        <w:rPr>
          <w:rFonts w:hint="eastAsia" w:ascii="仿宋_GB2312" w:hAnsi="仿宋_GB2312" w:eastAsia="仿宋_GB2312" w:cs="仿宋_GB2312"/>
          <w:lang w:val="en-US" w:eastAsia="zh-CN"/>
        </w:rPr>
        <w:t>%。决算数小于预算数的主要原因：认真贯彻落实</w:t>
      </w:r>
      <w:r>
        <w:rPr>
          <w:rFonts w:hint="eastAsia" w:ascii="仿宋_GB2312" w:hAnsi="仿宋_GB2312" w:cs="仿宋_GB2312"/>
          <w:lang w:val="en-US" w:eastAsia="zh-CN"/>
        </w:rPr>
        <w:t>中央八项规定</w:t>
      </w:r>
      <w:r>
        <w:rPr>
          <w:rFonts w:hint="eastAsia" w:ascii="仿宋_GB2312" w:hAnsi="仿宋_GB2312" w:eastAsia="仿宋_GB2312" w:cs="仿宋_GB2312"/>
          <w:lang w:val="en-US" w:eastAsia="zh-CN"/>
        </w:rPr>
        <w:t>精神和厉行节约要求，进一步从严控制“三公”经费开支，全年实际支出比预算有所节约。</w:t>
      </w:r>
    </w:p>
    <w:p>
      <w:pPr>
        <w:numPr>
          <w:ilvl w:val="0"/>
          <w:numId w:val="0"/>
        </w:numPr>
        <w:bidi w:val="0"/>
        <w:ind w:left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1.因公出国(境)费</w:t>
      </w:r>
      <w:r>
        <w:rPr>
          <w:rFonts w:hint="eastAsia" w:ascii="仿宋_GB2312" w:eastAsia="仿宋_GB2312"/>
          <w:color w:val="000000"/>
          <w:sz w:val="32"/>
          <w:szCs w:val="32"/>
          <w:highlight w:val="none"/>
          <w:lang w:val="en-US" w:eastAsia="zh-CN"/>
        </w:rPr>
        <w:t>预算为</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万元，</w:t>
      </w:r>
      <w:r>
        <w:rPr>
          <w:rFonts w:hint="eastAsia" w:ascii="仿宋_GB2312" w:eastAsia="仿宋_GB2312"/>
          <w:color w:val="000000"/>
          <w:sz w:val="32"/>
          <w:szCs w:val="32"/>
          <w:highlight w:val="none"/>
        </w:rPr>
        <w:t>支出决算为</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完成</w:t>
      </w:r>
      <w:r>
        <w:rPr>
          <w:rFonts w:hint="eastAsia" w:ascii="仿宋_GB2312" w:eastAsia="仿宋_GB2312"/>
          <w:color w:val="000000"/>
          <w:sz w:val="32"/>
          <w:szCs w:val="32"/>
          <w:highlight w:val="none"/>
        </w:rPr>
        <w:t>预算的</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%，比预算增加(减少)</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万元，主要原因是</w:t>
      </w:r>
      <w:r>
        <w:rPr>
          <w:rFonts w:hint="eastAsia" w:ascii="仿宋" w:hAnsi="仿宋" w:eastAsia="仿宋" w:cs="仿宋"/>
          <w:color w:val="000000"/>
          <w:sz w:val="32"/>
          <w:szCs w:val="32"/>
          <w:highlight w:val="none"/>
          <w:u w:val="none"/>
          <w:lang w:val="en-US" w:eastAsia="zh-CN"/>
        </w:rPr>
        <w:t>无此项工作安排</w:t>
      </w:r>
      <w:r>
        <w:rPr>
          <w:rFonts w:hint="eastAsia" w:ascii="仿宋_GB2312" w:eastAsia="仿宋_GB2312"/>
          <w:color w:val="000000"/>
          <w:sz w:val="32"/>
          <w:szCs w:val="32"/>
          <w:highlight w:val="none"/>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lang w:val="en-US" w:eastAsia="zh-CN"/>
        </w:rPr>
        <w:t>全年支出涉及出国（境）团组</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个，累计</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人次，主要</w:t>
      </w:r>
      <w:r>
        <w:rPr>
          <w:rFonts w:hint="eastAsia" w:ascii="仿宋_GB2312"/>
          <w:color w:val="000000"/>
          <w:sz w:val="32"/>
          <w:szCs w:val="32"/>
          <w:highlight w:val="none"/>
          <w:u w:val="none"/>
          <w:lang w:val="en-US" w:eastAsia="zh-CN"/>
        </w:rPr>
        <w:t>原因是</w:t>
      </w:r>
      <w:r>
        <w:rPr>
          <w:rFonts w:hint="eastAsia" w:ascii="仿宋" w:hAnsi="仿宋" w:eastAsia="仿宋" w:cs="仿宋"/>
          <w:color w:val="000000"/>
          <w:sz w:val="32"/>
          <w:szCs w:val="32"/>
          <w:highlight w:val="none"/>
          <w:u w:val="none"/>
          <w:lang w:val="en-US" w:eastAsia="zh-CN"/>
        </w:rPr>
        <w:t>无此项工作安排</w:t>
      </w:r>
      <w:r>
        <w:rPr>
          <w:rFonts w:hint="eastAsia" w:ascii="仿宋_GB2312" w:eastAsia="仿宋_GB2312"/>
          <w:color w:val="000000"/>
          <w:sz w:val="32"/>
          <w:szCs w:val="32"/>
          <w:highlight w:val="none"/>
          <w:u w:val="none"/>
          <w:lang w:val="en-US" w:eastAsia="zh-CN"/>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2.公务用车购置及运行费支出决算为</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万元，完成</w:t>
      </w:r>
      <w:r>
        <w:rPr>
          <w:rFonts w:hint="eastAsia" w:ascii="仿宋_GB2312" w:eastAsia="仿宋_GB2312"/>
          <w:color w:val="000000"/>
          <w:sz w:val="32"/>
          <w:szCs w:val="32"/>
          <w:highlight w:val="none"/>
          <w:lang w:eastAsia="zh-CN"/>
        </w:rPr>
        <w:t>年初</w:t>
      </w:r>
      <w:r>
        <w:rPr>
          <w:rFonts w:hint="eastAsia" w:ascii="仿宋_GB2312" w:eastAsia="仿宋_GB2312"/>
          <w:color w:val="000000"/>
          <w:sz w:val="32"/>
          <w:szCs w:val="32"/>
          <w:highlight w:val="none"/>
        </w:rPr>
        <w:t>预算的</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%；其中：</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(1)公务用车购置费</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完成年初</w:t>
      </w:r>
      <w:r>
        <w:rPr>
          <w:rFonts w:hint="eastAsia" w:ascii="仿宋_GB2312" w:eastAsia="仿宋_GB2312"/>
          <w:color w:val="000000"/>
          <w:sz w:val="32"/>
          <w:szCs w:val="32"/>
          <w:highlight w:val="none"/>
        </w:rPr>
        <w:t>预算的</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年初</w:t>
      </w:r>
      <w:r>
        <w:rPr>
          <w:rFonts w:hint="eastAsia" w:ascii="仿宋_GB2312" w:eastAsia="仿宋_GB2312"/>
          <w:color w:val="000000"/>
          <w:sz w:val="32"/>
          <w:szCs w:val="32"/>
          <w:highlight w:val="none"/>
        </w:rPr>
        <w:t>预算增加(减少)</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万元，主要原因是</w:t>
      </w:r>
      <w:r>
        <w:rPr>
          <w:rFonts w:hint="eastAsia" w:ascii="仿宋" w:hAnsi="仿宋" w:eastAsia="仿宋" w:cs="仿宋"/>
          <w:color w:val="000000"/>
          <w:sz w:val="32"/>
          <w:szCs w:val="32"/>
          <w:highlight w:val="none"/>
          <w:u w:val="none"/>
          <w:lang w:val="en-US" w:eastAsia="zh-CN"/>
        </w:rPr>
        <w:t>无此项工作安排</w:t>
      </w:r>
      <w:r>
        <w:rPr>
          <w:rFonts w:hint="eastAsia" w:ascii="仿宋_GB2312" w:eastAsia="仿宋_GB2312"/>
          <w:color w:val="000000"/>
          <w:sz w:val="32"/>
          <w:szCs w:val="32"/>
          <w:highlight w:val="none"/>
        </w:rPr>
        <w:t>。本年度购置(更新)公务用车</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(2)公务用车运行费</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完成年初</w:t>
      </w:r>
      <w:r>
        <w:rPr>
          <w:rFonts w:hint="eastAsia" w:ascii="仿宋_GB2312" w:eastAsia="仿宋_GB2312"/>
          <w:color w:val="000000"/>
          <w:sz w:val="32"/>
          <w:szCs w:val="32"/>
          <w:highlight w:val="none"/>
        </w:rPr>
        <w:t>预算的</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年初</w:t>
      </w:r>
      <w:r>
        <w:rPr>
          <w:rFonts w:hint="eastAsia" w:ascii="仿宋_GB2312" w:eastAsia="仿宋_GB2312"/>
          <w:color w:val="000000"/>
          <w:sz w:val="32"/>
          <w:szCs w:val="32"/>
          <w:highlight w:val="none"/>
        </w:rPr>
        <w:t>预算增加(减少)</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万元，主要原因是</w:t>
      </w:r>
      <w:r>
        <w:rPr>
          <w:rFonts w:hint="eastAsia" w:ascii="仿宋" w:hAnsi="仿宋" w:eastAsia="仿宋" w:cs="仿宋"/>
          <w:color w:val="000000"/>
          <w:sz w:val="32"/>
          <w:szCs w:val="32"/>
          <w:highlight w:val="none"/>
          <w:u w:val="none"/>
          <w:lang w:val="en-US" w:eastAsia="zh-CN"/>
        </w:rPr>
        <w:t>无此项工作安排</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截止</w:t>
      </w:r>
      <w:r>
        <w:rPr>
          <w:rFonts w:hint="eastAsia" w:ascii="仿宋_GB2312"/>
          <w:color w:val="000000"/>
          <w:sz w:val="32"/>
          <w:szCs w:val="32"/>
          <w:highlight w:val="none"/>
          <w:lang w:val="en-US" w:eastAsia="zh-CN"/>
        </w:rPr>
        <w:t>2022年</w:t>
      </w:r>
      <w:r>
        <w:rPr>
          <w:rFonts w:hint="eastAsia" w:ascii="仿宋_GB2312" w:eastAsia="仿宋_GB2312"/>
          <w:color w:val="000000"/>
          <w:sz w:val="32"/>
          <w:szCs w:val="32"/>
          <w:highlight w:val="none"/>
          <w:lang w:val="en-US" w:eastAsia="zh-CN"/>
        </w:rPr>
        <w:t>12月31日，开支财政拨款的公务用车保有量</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3.公务接待费支出决算为</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0.57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完成年初</w:t>
      </w:r>
      <w:r>
        <w:rPr>
          <w:rFonts w:hint="eastAsia" w:ascii="仿宋_GB2312" w:eastAsia="仿宋_GB2312"/>
          <w:color w:val="000000"/>
          <w:sz w:val="32"/>
          <w:szCs w:val="32"/>
          <w:highlight w:val="none"/>
        </w:rPr>
        <w:t>预算的</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95</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年初</w:t>
      </w:r>
      <w:r>
        <w:rPr>
          <w:rFonts w:hint="eastAsia" w:ascii="仿宋_GB2312" w:eastAsia="仿宋_GB2312"/>
          <w:color w:val="000000"/>
          <w:sz w:val="32"/>
          <w:szCs w:val="32"/>
          <w:highlight w:val="none"/>
        </w:rPr>
        <w:t>预算增加(减少)</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0.03</w:t>
      </w:r>
      <w:r>
        <w:rPr>
          <w:rFonts w:hint="eastAsia" w:ascii="仿宋_GB2312" w:eastAsia="仿宋_GB2312"/>
          <w:color w:val="000000"/>
          <w:sz w:val="32"/>
          <w:szCs w:val="32"/>
          <w:highlight w:val="none"/>
        </w:rPr>
        <w:t>万元，主要原因是</w:t>
      </w:r>
      <w:r>
        <w:rPr>
          <w:rFonts w:hint="eastAsia" w:ascii="仿宋" w:hAnsi="仿宋" w:eastAsia="仿宋" w:cs="仿宋"/>
          <w:color w:val="000000"/>
          <w:sz w:val="32"/>
          <w:szCs w:val="32"/>
          <w:highlight w:val="none"/>
        </w:rPr>
        <w:t>认真贯彻落实</w:t>
      </w:r>
      <w:r>
        <w:rPr>
          <w:rFonts w:hint="eastAsia" w:ascii="仿宋" w:hAnsi="仿宋" w:eastAsia="仿宋" w:cs="仿宋"/>
          <w:color w:val="000000"/>
          <w:sz w:val="32"/>
          <w:szCs w:val="32"/>
          <w:highlight w:val="none"/>
          <w:lang w:eastAsia="zh-CN"/>
        </w:rPr>
        <w:t>中央八项规定</w:t>
      </w:r>
      <w:r>
        <w:rPr>
          <w:rFonts w:hint="eastAsia" w:ascii="仿宋" w:hAnsi="仿宋" w:eastAsia="仿宋" w:cs="仿宋"/>
          <w:color w:val="000000"/>
          <w:sz w:val="32"/>
          <w:szCs w:val="32"/>
          <w:highlight w:val="none"/>
        </w:rPr>
        <w:t>精神和厉行节约要求，进一步从严控制“三公”经费开支，全年实际支出比预算有所节约</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其中：</w:t>
      </w:r>
    </w:p>
    <w:p>
      <w:pPr>
        <w:pageBreakBefore w:val="0"/>
        <w:widowControl w:val="0"/>
        <w:kinsoku/>
        <w:wordWrap/>
        <w:overflowPunct/>
        <w:topLinePunct w:val="0"/>
        <w:bidi w:val="0"/>
        <w:adjustRightInd w:val="0"/>
        <w:snapToGrid w:val="0"/>
        <w:spacing w:line="240" w:lineRule="auto"/>
        <w:ind w:firstLine="640" w:firstLineChars="200"/>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lang w:val="en-US" w:eastAsia="zh-CN"/>
        </w:rPr>
        <w:t>外宾接待支出</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万元，主要</w:t>
      </w:r>
      <w:r>
        <w:rPr>
          <w:rFonts w:hint="eastAsia" w:ascii="仿宋_GB2312"/>
          <w:color w:val="000000"/>
          <w:sz w:val="32"/>
          <w:szCs w:val="32"/>
          <w:highlight w:val="none"/>
          <w:u w:val="none"/>
          <w:lang w:val="en-US" w:eastAsia="zh-CN"/>
        </w:rPr>
        <w:t>原因</w:t>
      </w:r>
      <w:r>
        <w:rPr>
          <w:rFonts w:hint="eastAsia" w:ascii="仿宋_GB2312" w:eastAsia="仿宋_GB2312"/>
          <w:color w:val="000000"/>
          <w:sz w:val="32"/>
          <w:szCs w:val="32"/>
          <w:highlight w:val="none"/>
          <w:u w:val="none"/>
          <w:lang w:val="en-US" w:eastAsia="zh-CN"/>
        </w:rPr>
        <w:t>是</w:t>
      </w:r>
      <w:r>
        <w:rPr>
          <w:rFonts w:hint="eastAsia" w:ascii="仿宋" w:hAnsi="仿宋" w:eastAsia="仿宋" w:cs="仿宋"/>
          <w:color w:val="000000"/>
          <w:sz w:val="32"/>
          <w:szCs w:val="32"/>
          <w:highlight w:val="none"/>
          <w:u w:val="none"/>
          <w:lang w:val="en-US" w:eastAsia="zh-CN"/>
        </w:rPr>
        <w:t>无此项工作安排</w:t>
      </w:r>
      <w:r>
        <w:rPr>
          <w:rFonts w:hint="eastAsia" w:ascii="仿宋_GB2312" w:eastAsia="仿宋_GB2312"/>
          <w:color w:val="000000"/>
          <w:sz w:val="32"/>
          <w:szCs w:val="32"/>
          <w:highlight w:val="none"/>
          <w:u w:val="none"/>
          <w:lang w:val="en-US" w:eastAsia="zh-CN"/>
        </w:rPr>
        <w:t>。</w:t>
      </w:r>
      <w:r>
        <w:rPr>
          <w:rFonts w:hint="eastAsia" w:ascii="仿宋_GB2312"/>
          <w:color w:val="000000"/>
          <w:sz w:val="32"/>
          <w:szCs w:val="32"/>
          <w:highlight w:val="none"/>
          <w:u w:val="none"/>
          <w:lang w:val="en-US" w:eastAsia="zh-CN"/>
        </w:rPr>
        <w:t>2022年</w:t>
      </w:r>
      <w:r>
        <w:rPr>
          <w:rFonts w:hint="eastAsia" w:ascii="仿宋_GB2312" w:eastAsia="仿宋_GB2312"/>
          <w:color w:val="000000"/>
          <w:sz w:val="32"/>
          <w:szCs w:val="32"/>
          <w:highlight w:val="none"/>
          <w:u w:val="none"/>
          <w:lang w:val="en-US" w:eastAsia="zh-CN"/>
        </w:rPr>
        <w:t>共接待来访团组</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个，</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人次（不包括陪同人员）。</w:t>
      </w:r>
    </w:p>
    <w:p>
      <w:pPr>
        <w:pageBreakBefore w:val="0"/>
        <w:widowControl w:val="0"/>
        <w:kinsoku/>
        <w:wordWrap/>
        <w:overflowPunct/>
        <w:topLinePunct w:val="0"/>
        <w:bidi w:val="0"/>
        <w:adjustRightInd w:val="0"/>
        <w:snapToGrid w:val="0"/>
        <w:spacing w:line="240" w:lineRule="auto"/>
        <w:ind w:firstLine="640" w:firstLineChars="200"/>
        <w:textAlignment w:val="auto"/>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国内公务接待支出</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0.57</w:t>
      </w:r>
      <w:r>
        <w:rPr>
          <w:rFonts w:hint="eastAsia" w:ascii="仿宋_GB2312" w:eastAsia="仿宋_GB2312"/>
          <w:color w:val="000000"/>
          <w:sz w:val="32"/>
          <w:szCs w:val="32"/>
          <w:highlight w:val="none"/>
          <w:u w:val="none"/>
          <w:lang w:val="en-US" w:eastAsia="zh-CN"/>
        </w:rPr>
        <w:t>万元，接待对象主要是</w:t>
      </w:r>
      <w:r>
        <w:rPr>
          <w:rFonts w:hint="eastAsia" w:ascii="仿宋" w:hAnsi="仿宋" w:eastAsia="仿宋" w:cs="仿宋"/>
          <w:color w:val="000000"/>
          <w:sz w:val="32"/>
          <w:szCs w:val="32"/>
          <w:highlight w:val="none"/>
          <w:u w:val="none"/>
          <w:lang w:val="en-US" w:eastAsia="zh-CN"/>
        </w:rPr>
        <w:t>其他单位相关人员，主要是开展教学交流相关工作</w:t>
      </w:r>
      <w:r>
        <w:rPr>
          <w:rFonts w:hint="eastAsia" w:ascii="仿宋_GB2312" w:eastAsia="仿宋_GB2312"/>
          <w:color w:val="000000"/>
          <w:sz w:val="32"/>
          <w:szCs w:val="32"/>
          <w:highlight w:val="none"/>
          <w:u w:val="none"/>
          <w:lang w:val="en-US" w:eastAsia="zh-CN"/>
        </w:rPr>
        <w:t>。</w:t>
      </w:r>
      <w:r>
        <w:rPr>
          <w:rFonts w:hint="eastAsia" w:ascii="仿宋_GB2312"/>
          <w:color w:val="000000"/>
          <w:sz w:val="32"/>
          <w:szCs w:val="32"/>
          <w:highlight w:val="none"/>
          <w:u w:val="none"/>
          <w:lang w:val="en-US" w:eastAsia="zh-CN"/>
        </w:rPr>
        <w:t>2022年</w:t>
      </w:r>
      <w:r>
        <w:rPr>
          <w:rFonts w:hint="eastAsia" w:ascii="仿宋_GB2312" w:eastAsia="仿宋_GB2312"/>
          <w:color w:val="000000"/>
          <w:sz w:val="32"/>
          <w:szCs w:val="32"/>
          <w:highlight w:val="none"/>
          <w:u w:val="none"/>
          <w:lang w:val="en-US" w:eastAsia="zh-CN"/>
        </w:rPr>
        <w:t>共接待国内来访团组</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37</w:t>
      </w:r>
      <w:r>
        <w:rPr>
          <w:rFonts w:hint="eastAsia" w:ascii="仿宋_GB2312" w:eastAsia="仿宋_GB2312"/>
          <w:color w:val="000000"/>
          <w:sz w:val="32"/>
          <w:szCs w:val="32"/>
          <w:highlight w:val="none"/>
          <w:u w:val="single"/>
          <w:lang w:val="en-US" w:eastAsia="zh-CN"/>
        </w:rPr>
        <w:t xml:space="preserve"> </w:t>
      </w:r>
      <w:r>
        <w:rPr>
          <w:rFonts w:hint="eastAsia" w:ascii="仿宋_GB2312" w:eastAsia="仿宋_GB2312"/>
          <w:color w:val="000000"/>
          <w:sz w:val="32"/>
          <w:szCs w:val="32"/>
          <w:highlight w:val="none"/>
          <w:u w:val="none"/>
          <w:lang w:val="en-US" w:eastAsia="zh-CN"/>
        </w:rPr>
        <w:t>个，</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single"/>
          <w:lang w:val="en-US" w:eastAsia="zh-CN"/>
        </w:rPr>
        <w:t>97</w:t>
      </w:r>
      <w:r>
        <w:rPr>
          <w:rFonts w:hint="eastAsia" w:ascii="仿宋_GB2312" w:eastAsia="仿宋_GB2312"/>
          <w:color w:val="000000"/>
          <w:sz w:val="32"/>
          <w:szCs w:val="32"/>
          <w:highlight w:val="none"/>
          <w:u w:val="single"/>
          <w:lang w:val="en-US" w:eastAsia="zh-CN"/>
        </w:rPr>
        <w:t xml:space="preserve"> </w:t>
      </w:r>
      <w:r>
        <w:rPr>
          <w:rFonts w:hint="eastAsia" w:ascii="仿宋_GB2312" w:eastAsia="仿宋_GB2312"/>
          <w:color w:val="000000"/>
          <w:sz w:val="32"/>
          <w:szCs w:val="32"/>
          <w:highlight w:val="none"/>
          <w:u w:val="none"/>
          <w:lang w:val="en-US" w:eastAsia="zh-CN"/>
        </w:rPr>
        <w:t>人次（不包括陪同人员）。</w:t>
      </w:r>
    </w:p>
    <w:p>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lang w:val="en-US" w:eastAsia="zh-CN"/>
        </w:rPr>
        <w:t xml:space="preserve">八、政府性基金预算财政拨款收入支出决算情况说明 </w:t>
      </w:r>
    </w:p>
    <w:p>
      <w:pPr>
        <w:numPr>
          <w:ilvl w:val="0"/>
          <w:numId w:val="0"/>
        </w:num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本单位当年无政府性基金预算财政拨款收入支出。</w:t>
      </w:r>
    </w:p>
    <w:p>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九、国有资本经营预算财政拨款支出决算情况说明</w:t>
      </w:r>
    </w:p>
    <w:p>
      <w:pPr>
        <w:ind w:firstLine="640"/>
        <w:jc w:val="both"/>
        <w:rPr>
          <w:rFonts w:hint="eastAsia"/>
          <w:b/>
          <w:bCs/>
          <w:color w:val="7E7E7E"/>
          <w:lang w:val="en-US" w:eastAsia="zh-CN"/>
        </w:rPr>
      </w:pPr>
      <w:r>
        <w:rPr>
          <w:rFonts w:hint="eastAsia" w:ascii="仿宋_GB2312" w:hAnsi="仿宋_GB2312" w:cs="仿宋_GB2312"/>
          <w:sz w:val="32"/>
          <w:szCs w:val="32"/>
          <w:lang w:val="en-US" w:eastAsia="zh-CN"/>
        </w:rPr>
        <w:t>本单位当年无国有资本经营预算财政拨款支出。</w:t>
      </w:r>
    </w:p>
    <w:p>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pPr>
        <w:pStyle w:val="1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本单位为非参公管理事业单位。</w:t>
      </w:r>
    </w:p>
    <w:p>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pPr>
        <w:bidi w:val="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通山县慈口乡中</w:t>
      </w:r>
      <w:r>
        <w:rPr>
          <w:rFonts w:hint="eastAsia" w:ascii="仿宋_GB2312" w:hAnsi="仿宋_GB2312" w:cs="仿宋_GB2312"/>
          <w:sz w:val="32"/>
          <w:szCs w:val="32"/>
          <w:lang w:val="en-US" w:eastAsia="zh-CN"/>
        </w:rPr>
        <w:t>心小</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年度政府采购支出总额</w:t>
      </w:r>
      <w:r>
        <w:rPr>
          <w:rFonts w:hint="eastAsia" w:ascii="仿宋_GB2312" w:hAnsi="仿宋_GB2312" w:cs="仿宋_GB2312"/>
          <w:kern w:val="2"/>
          <w:sz w:val="32"/>
          <w:szCs w:val="32"/>
          <w:u w:val="single"/>
          <w:lang w:val="en-US" w:eastAsia="zh-CN" w:bidi="ar-SA"/>
        </w:rPr>
        <w:t>43.61</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货物及服务</w:t>
      </w:r>
      <w:r>
        <w:rPr>
          <w:rFonts w:hint="eastAsia" w:ascii="仿宋_GB2312" w:hAnsi="仿宋_GB2312" w:eastAsia="仿宋_GB2312" w:cs="仿宋_GB2312"/>
          <w:sz w:val="32"/>
          <w:szCs w:val="32"/>
        </w:rPr>
        <w:t>支出</w:t>
      </w:r>
      <w:r>
        <w:rPr>
          <w:rFonts w:hint="eastAsia" w:ascii="仿宋_GB2312" w:hAnsi="仿宋_GB2312" w:cs="仿宋_GB2312"/>
          <w:kern w:val="2"/>
          <w:sz w:val="32"/>
          <w:szCs w:val="32"/>
          <w:u w:val="single"/>
          <w:lang w:val="en-US" w:eastAsia="zh-CN" w:bidi="ar-SA"/>
        </w:rPr>
        <w:t>43.61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占政府采购总支出100%</w:t>
      </w:r>
      <w:r>
        <w:rPr>
          <w:rFonts w:hint="eastAsia" w:ascii="仿宋_GB2312" w:hAnsi="仿宋_GB2312" w:eastAsia="仿宋_GB2312" w:cs="仿宋_GB2312"/>
          <w:szCs w:val="32"/>
        </w:rPr>
        <w:t>。</w:t>
      </w:r>
    </w:p>
    <w:p>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pPr>
        <w:bidi w:val="0"/>
        <w:ind w:firstLine="640" w:firstLineChars="200"/>
        <w:rPr>
          <w:rFonts w:hint="eastAsia"/>
          <w:lang w:val="en-US" w:eastAsia="zh-CN"/>
        </w:rPr>
      </w:pPr>
      <w:r>
        <w:rPr>
          <w:rFonts w:hint="eastAsia" w:ascii="仿宋_GB2312" w:hAnsi="仿宋_GB2312" w:eastAsia="仿宋_GB2312" w:cs="仿宋_GB2312"/>
          <w:szCs w:val="32"/>
        </w:rPr>
        <w:t>截至2022年 12月31日，固定资产原值为</w:t>
      </w:r>
      <w:r>
        <w:rPr>
          <w:rFonts w:hint="eastAsia" w:ascii="仿宋_GB2312" w:hAnsi="仿宋_GB2312" w:cs="仿宋_GB2312"/>
          <w:szCs w:val="32"/>
          <w:lang w:val="en-US" w:eastAsia="zh-CN"/>
        </w:rPr>
        <w:t>4291.26</w:t>
      </w:r>
      <w:r>
        <w:rPr>
          <w:rFonts w:hint="eastAsia" w:ascii="仿宋_GB2312" w:hAnsi="仿宋_GB2312" w:eastAsia="仿宋_GB2312" w:cs="仿宋_GB2312"/>
          <w:szCs w:val="32"/>
        </w:rPr>
        <w:t>万元，其中土地、房屋及构筑物</w:t>
      </w:r>
      <w:r>
        <w:rPr>
          <w:rFonts w:hint="eastAsia" w:ascii="仿宋_GB2312" w:hAnsi="仿宋_GB2312" w:cs="仿宋_GB2312"/>
          <w:szCs w:val="32"/>
          <w:lang w:val="en-US" w:eastAsia="zh-CN"/>
        </w:rPr>
        <w:t>3772.13</w:t>
      </w:r>
      <w:r>
        <w:rPr>
          <w:rFonts w:hint="eastAsia" w:ascii="仿宋_GB2312" w:hAnsi="仿宋_GB2312" w:eastAsia="仿宋_GB2312" w:cs="仿宋_GB2312"/>
          <w:szCs w:val="32"/>
        </w:rPr>
        <w:t>万元，通用设备</w:t>
      </w:r>
      <w:r>
        <w:rPr>
          <w:rFonts w:hint="eastAsia" w:ascii="仿宋_GB2312" w:hAnsi="仿宋_GB2312" w:cs="仿宋_GB2312"/>
          <w:szCs w:val="32"/>
          <w:lang w:val="en-US" w:eastAsia="zh-CN"/>
        </w:rPr>
        <w:t>224.94</w:t>
      </w:r>
      <w:r>
        <w:rPr>
          <w:rFonts w:hint="eastAsia" w:ascii="仿宋_GB2312" w:hAnsi="仿宋_GB2312" w:eastAsia="仿宋_GB2312" w:cs="仿宋_GB2312"/>
          <w:szCs w:val="32"/>
        </w:rPr>
        <w:t>万元，专用设备</w:t>
      </w:r>
      <w:r>
        <w:rPr>
          <w:rFonts w:hint="eastAsia" w:ascii="仿宋_GB2312" w:hAnsi="仿宋_GB2312" w:cs="仿宋_GB2312"/>
          <w:szCs w:val="32"/>
          <w:lang w:val="en-US" w:eastAsia="zh-CN"/>
        </w:rPr>
        <w:t>24.45</w:t>
      </w:r>
      <w:r>
        <w:rPr>
          <w:rFonts w:hint="eastAsia" w:ascii="仿宋_GB2312" w:hAnsi="仿宋_GB2312" w:eastAsia="仿宋_GB2312" w:cs="仿宋_GB2312"/>
          <w:szCs w:val="32"/>
        </w:rPr>
        <w:t>万元，图书档案</w:t>
      </w:r>
      <w:r>
        <w:rPr>
          <w:rFonts w:hint="eastAsia" w:ascii="仿宋_GB2312" w:hAnsi="仿宋_GB2312" w:cs="仿宋_GB2312"/>
          <w:szCs w:val="32"/>
          <w:lang w:val="en-US" w:eastAsia="zh-CN"/>
        </w:rPr>
        <w:t>11.27</w:t>
      </w:r>
      <w:r>
        <w:rPr>
          <w:rFonts w:hint="eastAsia" w:ascii="仿宋_GB2312" w:hAnsi="仿宋_GB2312" w:eastAsia="仿宋_GB2312" w:cs="仿宋_GB2312"/>
          <w:szCs w:val="32"/>
        </w:rPr>
        <w:t>万元，家具、用具及装具</w:t>
      </w:r>
      <w:r>
        <w:rPr>
          <w:rFonts w:hint="eastAsia" w:ascii="仿宋_GB2312" w:hAnsi="仿宋_GB2312" w:cs="仿宋_GB2312"/>
          <w:szCs w:val="32"/>
          <w:lang w:val="en-US" w:eastAsia="zh-CN"/>
        </w:rPr>
        <w:t>18.09</w:t>
      </w:r>
      <w:r>
        <w:rPr>
          <w:rFonts w:hint="eastAsia" w:ascii="仿宋_GB2312" w:hAnsi="仿宋_GB2312" w:eastAsia="仿宋_GB2312" w:cs="仿宋_GB2312"/>
          <w:szCs w:val="32"/>
        </w:rPr>
        <w:t>万元，2022年折旧后资产净值为</w:t>
      </w:r>
      <w:r>
        <w:rPr>
          <w:rFonts w:hint="eastAsia" w:ascii="仿宋_GB2312" w:hAnsi="仿宋_GB2312" w:cs="仿宋_GB2312"/>
          <w:szCs w:val="32"/>
          <w:lang w:val="en-US" w:eastAsia="zh-CN"/>
        </w:rPr>
        <w:t>2105.53</w:t>
      </w:r>
      <w:r>
        <w:rPr>
          <w:rFonts w:hint="eastAsia" w:ascii="仿宋_GB2312" w:hAnsi="仿宋_GB2312" w:eastAsia="仿宋_GB2312" w:cs="仿宋_GB2312"/>
          <w:szCs w:val="32"/>
        </w:rPr>
        <w:t>万元。</w:t>
      </w:r>
      <w:r>
        <w:rPr>
          <w:rFonts w:hint="eastAsia" w:ascii="仿宋_GB2312" w:hAnsi="仿宋_GB2312" w:cs="仿宋_GB2312"/>
          <w:szCs w:val="32"/>
          <w:lang w:eastAsia="zh-CN"/>
        </w:rPr>
        <w:t>本</w:t>
      </w:r>
      <w:r>
        <w:rPr>
          <w:rFonts w:hint="eastAsia" w:ascii="仿宋_GB2312" w:hAnsi="仿宋_GB2312" w:eastAsia="仿宋_GB2312" w:cs="仿宋_GB2312"/>
          <w:szCs w:val="32"/>
        </w:rPr>
        <w:t>单位</w:t>
      </w:r>
      <w:r>
        <w:rPr>
          <w:rFonts w:hint="eastAsia" w:ascii="仿宋_GB2312" w:hAnsi="仿宋_GB2312" w:cs="仿宋_GB2312"/>
          <w:szCs w:val="32"/>
          <w:lang w:eastAsia="zh-CN"/>
        </w:rPr>
        <w:t>共有车辆</w:t>
      </w:r>
      <w:r>
        <w:rPr>
          <w:rFonts w:hint="eastAsia" w:ascii="仿宋_GB2312" w:hAnsi="仿宋_GB2312" w:cs="仿宋_GB2312"/>
          <w:szCs w:val="32"/>
          <w:lang w:val="en-US" w:eastAsia="zh-CN"/>
        </w:rPr>
        <w:t>0辆，其中，副省级及以上领导干部用车0辆，主要领导干部用车0辆，机要通信用车0辆，应急保障用车0辆，执法执勤车0辆，特种专业技术用车0辆，其他用车0辆；本单位</w:t>
      </w:r>
      <w:r>
        <w:rPr>
          <w:rFonts w:hint="eastAsia" w:ascii="仿宋_GB2312" w:hAnsi="仿宋_GB2312" w:eastAsia="仿宋_GB2312" w:cs="仿宋_GB2312"/>
          <w:szCs w:val="32"/>
          <w:lang w:eastAsia="zh-CN"/>
        </w:rPr>
        <w:t>没有</w:t>
      </w:r>
      <w:r>
        <w:rPr>
          <w:rFonts w:hint="eastAsia" w:ascii="仿宋_GB2312" w:hAnsi="仿宋_GB2312" w:eastAsia="仿宋_GB2312" w:cs="仿宋_GB2312"/>
          <w:szCs w:val="32"/>
        </w:rPr>
        <w:t>单价</w:t>
      </w:r>
      <w:r>
        <w:rPr>
          <w:rFonts w:hint="eastAsia" w:ascii="仿宋_GB2312" w:hAnsi="仿宋_GB2312" w:eastAsia="仿宋_GB2312" w:cs="仿宋_GB2312"/>
          <w:szCs w:val="32"/>
          <w:lang w:val="en-US" w:eastAsia="zh-CN"/>
        </w:rPr>
        <w:t>50</w:t>
      </w:r>
      <w:r>
        <w:rPr>
          <w:rFonts w:hint="eastAsia" w:ascii="仿宋_GB2312" w:hAnsi="仿宋_GB2312" w:eastAsia="仿宋_GB2312" w:cs="仿宋_GB2312"/>
          <w:szCs w:val="32"/>
        </w:rPr>
        <w:t>万元以上通用设备</w:t>
      </w:r>
      <w:r>
        <w:rPr>
          <w:rFonts w:hint="eastAsia" w:ascii="仿宋_GB2312" w:hAnsi="仿宋_GB2312" w:eastAsia="仿宋_GB2312" w:cs="仿宋_GB2312"/>
          <w:szCs w:val="32"/>
          <w:lang w:eastAsia="zh-CN"/>
        </w:rPr>
        <w:t>和</w:t>
      </w:r>
      <w:r>
        <w:rPr>
          <w:rFonts w:hint="eastAsia" w:ascii="仿宋_GB2312" w:hAnsi="仿宋_GB2312" w:eastAsia="仿宋_GB2312" w:cs="仿宋_GB2312"/>
          <w:szCs w:val="32"/>
        </w:rPr>
        <w:t>单价</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万元以上专用设备。</w:t>
      </w:r>
    </w:p>
    <w:p>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pPr>
        <w:bidi w:val="0"/>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(一)</w:t>
      </w:r>
      <w:r>
        <w:rPr>
          <w:rFonts w:hint="eastAsia" w:ascii="楷体_GB2312" w:hAnsi="楷体_GB2312" w:eastAsia="楷体_GB2312" w:cs="楷体_GB2312"/>
        </w:rPr>
        <w:t>预算绩效管理工作开展情况</w:t>
      </w:r>
      <w:r>
        <w:rPr>
          <w:rFonts w:hint="eastAsia" w:ascii="楷体_GB2312" w:hAnsi="楷体_GB2312" w:eastAsia="楷体_GB2312" w:cs="楷体_GB2312"/>
          <w:lang w:eastAsia="zh-CN"/>
        </w:rPr>
        <w:t>。</w:t>
      </w:r>
    </w:p>
    <w:p>
      <w:pPr>
        <w:pStyle w:val="11"/>
        <w:rPr>
          <w:rFonts w:hint="eastAsia" w:ascii="仿宋_GB2312" w:hAnsi="仿宋_GB2312" w:eastAsia="仿宋_GB2312" w:cs="仿宋_GB2312"/>
          <w:b/>
          <w:bCs/>
          <w:color w:val="7E7E7E"/>
          <w:sz w:val="32"/>
          <w:szCs w:val="32"/>
          <w:lang w:eastAsia="zh-CN"/>
        </w:rPr>
      </w:pPr>
      <w:r>
        <w:rPr>
          <w:rFonts w:hint="eastAsia" w:ascii="华文仿宋" w:hAnsi="华文仿宋" w:eastAsia="华文仿宋" w:cs="华文仿宋"/>
          <w:i w:val="0"/>
          <w:caps w:val="0"/>
          <w:color w:val="auto"/>
          <w:spacing w:val="0"/>
          <w:sz w:val="32"/>
          <w:szCs w:val="32"/>
          <w:shd w:val="clear" w:color="auto" w:fill="FFFFFF"/>
        </w:rPr>
        <w:t>我单位组织对“学生营养餐”项目开展了重点绩效评价，涉及资金</w:t>
      </w:r>
      <w:r>
        <w:rPr>
          <w:rFonts w:hint="eastAsia" w:ascii="华文仿宋" w:hAnsi="华文仿宋" w:eastAsia="华文仿宋" w:cs="华文仿宋"/>
          <w:i w:val="0"/>
          <w:caps w:val="0"/>
          <w:color w:val="auto"/>
          <w:spacing w:val="0"/>
          <w:sz w:val="32"/>
          <w:szCs w:val="32"/>
          <w:u w:val="single"/>
          <w:shd w:val="clear" w:color="auto" w:fill="FFFFFF"/>
          <w:lang w:val="en-US" w:eastAsia="zh-CN"/>
        </w:rPr>
        <w:t>1</w:t>
      </w:r>
      <w:r>
        <w:rPr>
          <w:rFonts w:hint="eastAsia" w:ascii="Times New Roman" w:hAnsi="Times New Roman" w:eastAsia="仿宋_GB2312" w:cs="Times New Roman"/>
          <w:kern w:val="2"/>
          <w:sz w:val="32"/>
          <w:szCs w:val="22"/>
          <w:u w:val="single"/>
          <w:lang w:val="en-US" w:eastAsia="zh-CN" w:bidi="ar-SA"/>
        </w:rPr>
        <w:t>9.48</w:t>
      </w:r>
      <w:r>
        <w:rPr>
          <w:rFonts w:hint="eastAsia" w:ascii="华文仿宋" w:hAnsi="华文仿宋" w:eastAsia="华文仿宋" w:cs="华文仿宋"/>
          <w:i w:val="0"/>
          <w:caps w:val="0"/>
          <w:color w:val="auto"/>
          <w:spacing w:val="0"/>
          <w:sz w:val="32"/>
          <w:szCs w:val="32"/>
          <w:shd w:val="clear" w:color="auto" w:fill="FFFFFF"/>
        </w:rPr>
        <w:t>万元。项目均采用自评开展绩效评价。从评价情况来看，有关项目预算执行及时、有效，绩效目标得到较好实现，绩效管理水平不断提高，绩效指标体系建设逐渐丰富和完善，较为充分反映财政体制改革的工作目标和任务。</w:t>
      </w:r>
    </w:p>
    <w:p>
      <w:pPr>
        <w:pStyle w:val="11"/>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部门决算中项目绩效自评结果。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华文仿宋" w:hAnsi="华文仿宋" w:eastAsia="华文仿宋" w:cs="华文仿宋"/>
          <w:i w:val="0"/>
          <w:caps w:val="0"/>
          <w:color w:val="auto"/>
          <w:spacing w:val="0"/>
          <w:sz w:val="32"/>
          <w:szCs w:val="32"/>
          <w:shd w:val="clear" w:color="auto" w:fill="FFFFFF"/>
        </w:rPr>
      </w:pPr>
      <w:r>
        <w:rPr>
          <w:rFonts w:hint="eastAsia" w:ascii="华文仿宋" w:hAnsi="华文仿宋" w:eastAsia="华文仿宋" w:cs="华文仿宋"/>
          <w:i w:val="0"/>
          <w:caps w:val="0"/>
          <w:color w:val="auto"/>
          <w:spacing w:val="0"/>
          <w:sz w:val="32"/>
          <w:szCs w:val="32"/>
          <w:shd w:val="clear" w:color="auto" w:fill="FFFFFF"/>
        </w:rPr>
        <w:t>在</w:t>
      </w:r>
      <w:r>
        <w:rPr>
          <w:rFonts w:hint="eastAsia" w:ascii="华文仿宋" w:hAnsi="华文仿宋" w:eastAsia="华文仿宋" w:cs="华文仿宋"/>
          <w:i w:val="0"/>
          <w:caps w:val="0"/>
          <w:color w:val="auto"/>
          <w:spacing w:val="0"/>
          <w:sz w:val="32"/>
          <w:szCs w:val="32"/>
          <w:shd w:val="clear" w:color="auto" w:fill="FFFFFF"/>
          <w:lang w:eastAsia="zh-CN"/>
        </w:rPr>
        <w:t>202</w:t>
      </w:r>
      <w:r>
        <w:rPr>
          <w:rFonts w:hint="eastAsia" w:ascii="华文仿宋" w:hAnsi="华文仿宋" w:eastAsia="华文仿宋" w:cs="华文仿宋"/>
          <w:i w:val="0"/>
          <w:caps w:val="0"/>
          <w:color w:val="auto"/>
          <w:spacing w:val="0"/>
          <w:sz w:val="32"/>
          <w:szCs w:val="32"/>
          <w:shd w:val="clear" w:color="auto" w:fill="FFFFFF"/>
          <w:lang w:val="en-US" w:eastAsia="zh-CN"/>
        </w:rPr>
        <w:t>2</w:t>
      </w:r>
      <w:r>
        <w:rPr>
          <w:rFonts w:hint="eastAsia" w:ascii="华文仿宋" w:hAnsi="华文仿宋" w:eastAsia="华文仿宋" w:cs="华文仿宋"/>
          <w:i w:val="0"/>
          <w:caps w:val="0"/>
          <w:color w:val="auto"/>
          <w:spacing w:val="0"/>
          <w:sz w:val="32"/>
          <w:szCs w:val="32"/>
          <w:shd w:val="clear" w:color="auto" w:fill="FFFFFF"/>
          <w:lang w:eastAsia="zh-CN"/>
        </w:rPr>
        <w:t>年</w:t>
      </w:r>
      <w:r>
        <w:rPr>
          <w:rFonts w:hint="eastAsia" w:ascii="华文仿宋" w:hAnsi="华文仿宋" w:eastAsia="华文仿宋" w:cs="华文仿宋"/>
          <w:i w:val="0"/>
          <w:caps w:val="0"/>
          <w:color w:val="auto"/>
          <w:spacing w:val="0"/>
          <w:sz w:val="32"/>
          <w:szCs w:val="32"/>
          <w:shd w:val="clear" w:color="auto" w:fill="FFFFFF"/>
        </w:rPr>
        <w:t>度部门决算中反映“学生营养餐”项目绩效自评结果。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华文仿宋" w:hAnsi="华文仿宋" w:eastAsia="华文仿宋" w:cs="华文仿宋"/>
          <w:i w:val="0"/>
          <w:caps w:val="0"/>
          <w:color w:val="auto"/>
          <w:spacing w:val="0"/>
          <w:sz w:val="32"/>
          <w:szCs w:val="32"/>
          <w:shd w:val="clear" w:color="auto" w:fill="FFFFFF"/>
        </w:rPr>
      </w:pPr>
      <w:r>
        <w:rPr>
          <w:rFonts w:hint="eastAsia" w:ascii="华文仿宋" w:hAnsi="华文仿宋" w:eastAsia="华文仿宋" w:cs="华文仿宋"/>
          <w:i w:val="0"/>
          <w:caps w:val="0"/>
          <w:color w:val="auto"/>
          <w:spacing w:val="0"/>
          <w:sz w:val="32"/>
          <w:szCs w:val="32"/>
          <w:shd w:val="clear" w:color="auto" w:fill="FFFFFF"/>
        </w:rPr>
        <w:t>“学生营养餐”项目绩效自评综述：根据年初设定的绩效目标，“学生营养餐”项目自评得分为</w:t>
      </w:r>
      <w:r>
        <w:rPr>
          <w:rFonts w:hint="eastAsia" w:ascii="Times New Roman" w:hAnsi="Times New Roman" w:eastAsia="仿宋_GB2312" w:cs="Times New Roman"/>
          <w:kern w:val="2"/>
          <w:sz w:val="32"/>
          <w:szCs w:val="22"/>
          <w:u w:val="single"/>
          <w:lang w:val="en-US" w:eastAsia="zh-CN" w:bidi="ar-SA"/>
        </w:rPr>
        <w:t>9</w:t>
      </w:r>
      <w:r>
        <w:rPr>
          <w:rFonts w:hint="eastAsia" w:cs="Times New Roman"/>
          <w:kern w:val="2"/>
          <w:sz w:val="32"/>
          <w:szCs w:val="22"/>
          <w:u w:val="single"/>
          <w:lang w:val="en-US" w:eastAsia="zh-CN" w:bidi="ar-SA"/>
        </w:rPr>
        <w:t>5</w:t>
      </w:r>
      <w:r>
        <w:rPr>
          <w:rFonts w:hint="eastAsia" w:ascii="华文仿宋" w:hAnsi="华文仿宋" w:eastAsia="华文仿宋" w:cs="华文仿宋"/>
          <w:i w:val="0"/>
          <w:caps w:val="0"/>
          <w:color w:val="auto"/>
          <w:spacing w:val="0"/>
          <w:sz w:val="32"/>
          <w:szCs w:val="32"/>
          <w:shd w:val="clear" w:color="auto" w:fill="FFFFFF"/>
        </w:rPr>
        <w:t>分。项目全年预算数为</w:t>
      </w:r>
      <w:r>
        <w:rPr>
          <w:rFonts w:hint="eastAsia" w:cs="Times New Roman"/>
          <w:kern w:val="2"/>
          <w:sz w:val="32"/>
          <w:szCs w:val="22"/>
          <w:u w:val="single"/>
          <w:lang w:val="en-US" w:eastAsia="zh-CN" w:bidi="ar-SA"/>
        </w:rPr>
        <w:t>20</w:t>
      </w:r>
      <w:r>
        <w:rPr>
          <w:rFonts w:hint="eastAsia" w:ascii="华文仿宋" w:hAnsi="华文仿宋" w:eastAsia="华文仿宋" w:cs="华文仿宋"/>
          <w:i w:val="0"/>
          <w:caps w:val="0"/>
          <w:color w:val="auto"/>
          <w:spacing w:val="0"/>
          <w:sz w:val="32"/>
          <w:szCs w:val="32"/>
          <w:shd w:val="clear" w:color="auto" w:fill="FFFFFF"/>
        </w:rPr>
        <w:t>万元，执行数为</w:t>
      </w:r>
      <w:r>
        <w:rPr>
          <w:rFonts w:hint="eastAsia" w:cs="Times New Roman"/>
          <w:kern w:val="2"/>
          <w:sz w:val="32"/>
          <w:szCs w:val="22"/>
          <w:u w:val="single"/>
          <w:lang w:val="en-US" w:eastAsia="zh-CN" w:bidi="ar-SA"/>
        </w:rPr>
        <w:t>19.48</w:t>
      </w:r>
      <w:r>
        <w:rPr>
          <w:rFonts w:hint="eastAsia" w:ascii="华文仿宋" w:hAnsi="华文仿宋" w:eastAsia="华文仿宋" w:cs="华文仿宋"/>
          <w:i w:val="0"/>
          <w:caps w:val="0"/>
          <w:color w:val="auto"/>
          <w:spacing w:val="0"/>
          <w:sz w:val="32"/>
          <w:szCs w:val="32"/>
          <w:shd w:val="clear" w:color="auto" w:fill="FFFFFF"/>
        </w:rPr>
        <w:t>万元，完成预算的</w:t>
      </w:r>
      <w:r>
        <w:rPr>
          <w:rFonts w:hint="eastAsia" w:ascii="Times New Roman" w:hAnsi="Times New Roman" w:eastAsia="仿宋_GB2312" w:cs="Times New Roman"/>
          <w:kern w:val="2"/>
          <w:sz w:val="32"/>
          <w:szCs w:val="22"/>
          <w:u w:val="single"/>
          <w:lang w:val="en-US" w:eastAsia="zh-CN" w:bidi="ar-SA"/>
        </w:rPr>
        <w:t>9</w:t>
      </w:r>
      <w:r>
        <w:rPr>
          <w:rFonts w:hint="eastAsia" w:cs="Times New Roman"/>
          <w:kern w:val="2"/>
          <w:sz w:val="32"/>
          <w:szCs w:val="22"/>
          <w:u w:val="single"/>
          <w:lang w:val="en-US" w:eastAsia="zh-CN" w:bidi="ar-SA"/>
        </w:rPr>
        <w:t>7.4</w:t>
      </w:r>
      <w:r>
        <w:rPr>
          <w:rFonts w:hint="eastAsia" w:ascii="Times New Roman" w:hAnsi="Times New Roman" w:eastAsia="仿宋_GB2312" w:cs="Times New Roman"/>
          <w:kern w:val="2"/>
          <w:sz w:val="32"/>
          <w:szCs w:val="22"/>
          <w:u w:val="none"/>
          <w:lang w:val="en-US" w:eastAsia="zh-CN" w:bidi="ar-SA"/>
        </w:rPr>
        <w:t>%</w:t>
      </w:r>
      <w:r>
        <w:rPr>
          <w:rFonts w:hint="eastAsia" w:ascii="华文仿宋" w:hAnsi="华文仿宋" w:eastAsia="华文仿宋" w:cs="华文仿宋"/>
          <w:i w:val="0"/>
          <w:caps w:val="0"/>
          <w:color w:val="auto"/>
          <w:spacing w:val="0"/>
          <w:sz w:val="32"/>
          <w:szCs w:val="32"/>
          <w:shd w:val="clear" w:color="auto" w:fill="FFFFFF"/>
        </w:rPr>
        <w:t>。（1）从投入看，项目设立依据充分，符合国家和湖北省政府的相关要求，有利于进一步改善通山县义务教育学生营养状况，项目绩效目标能细化分解为具体的绩效指标，能通过清晰、可衡量的指标值予以体现。（2）从过程看，项目业务制度、财务制度较完备，建立了《通山县学校食堂食品安全管理和监督方法》、《湖北省农村义务教育学生营养改善计划专项资金管理暂行办法》等一系列相关制度，有利于项目开展，专项资金建立了专账。（3）从产出来看，</w:t>
      </w:r>
      <w:r>
        <w:rPr>
          <w:rFonts w:hint="eastAsia" w:ascii="华文仿宋" w:hAnsi="华文仿宋" w:eastAsia="华文仿宋" w:cs="华文仿宋"/>
          <w:i w:val="0"/>
          <w:caps w:val="0"/>
          <w:color w:val="auto"/>
          <w:spacing w:val="0"/>
          <w:sz w:val="32"/>
          <w:szCs w:val="32"/>
          <w:shd w:val="clear" w:color="auto" w:fill="FFFFFF"/>
          <w:lang w:eastAsia="zh-CN"/>
        </w:rPr>
        <w:t>202</w:t>
      </w:r>
      <w:r>
        <w:rPr>
          <w:rFonts w:hint="eastAsia" w:ascii="华文仿宋" w:hAnsi="华文仿宋" w:eastAsia="华文仿宋" w:cs="华文仿宋"/>
          <w:i w:val="0"/>
          <w:caps w:val="0"/>
          <w:color w:val="auto"/>
          <w:spacing w:val="0"/>
          <w:sz w:val="32"/>
          <w:szCs w:val="32"/>
          <w:shd w:val="clear" w:color="auto" w:fill="FFFFFF"/>
          <w:lang w:val="en-US" w:eastAsia="zh-CN"/>
        </w:rPr>
        <w:t>2</w:t>
      </w:r>
      <w:r>
        <w:rPr>
          <w:rFonts w:hint="eastAsia" w:ascii="华文仿宋" w:hAnsi="华文仿宋" w:eastAsia="华文仿宋" w:cs="华文仿宋"/>
          <w:i w:val="0"/>
          <w:caps w:val="0"/>
          <w:color w:val="auto"/>
          <w:spacing w:val="0"/>
          <w:sz w:val="32"/>
          <w:szCs w:val="32"/>
          <w:shd w:val="clear" w:color="auto" w:fill="FFFFFF"/>
          <w:lang w:eastAsia="zh-CN"/>
        </w:rPr>
        <w:t>年</w:t>
      </w:r>
      <w:r>
        <w:rPr>
          <w:rFonts w:hint="eastAsia" w:ascii="华文仿宋" w:hAnsi="华文仿宋" w:eastAsia="华文仿宋" w:cs="华文仿宋"/>
          <w:i w:val="0"/>
          <w:caps w:val="0"/>
          <w:color w:val="auto"/>
          <w:spacing w:val="0"/>
          <w:sz w:val="32"/>
          <w:szCs w:val="32"/>
          <w:shd w:val="clear" w:color="auto" w:fill="FFFFFF"/>
        </w:rPr>
        <w:t>度上半年对</w:t>
      </w:r>
      <w:r>
        <w:rPr>
          <w:rFonts w:hint="eastAsia" w:cs="Times New Roman"/>
          <w:kern w:val="2"/>
          <w:sz w:val="32"/>
          <w:szCs w:val="22"/>
          <w:u w:val="single"/>
          <w:lang w:val="en-US" w:eastAsia="zh-CN" w:bidi="ar-SA"/>
        </w:rPr>
        <w:t>396</w:t>
      </w:r>
      <w:r>
        <w:rPr>
          <w:rFonts w:hint="eastAsia" w:cs="Times New Roman"/>
          <w:kern w:val="2"/>
          <w:sz w:val="32"/>
          <w:szCs w:val="22"/>
          <w:u w:val="none"/>
          <w:lang w:val="en-US" w:eastAsia="zh-CN" w:bidi="ar-SA"/>
        </w:rPr>
        <w:t>名学生提供牛奶，</w:t>
      </w:r>
      <w:r>
        <w:rPr>
          <w:rFonts w:hint="eastAsia" w:cs="Times New Roman"/>
          <w:kern w:val="2"/>
          <w:sz w:val="32"/>
          <w:szCs w:val="22"/>
          <w:u w:val="single"/>
          <w:lang w:val="en-US" w:eastAsia="zh-CN" w:bidi="ar-SA"/>
        </w:rPr>
        <w:t>62</w:t>
      </w:r>
      <w:r>
        <w:rPr>
          <w:rFonts w:hint="eastAsia" w:ascii="华文仿宋" w:hAnsi="华文仿宋" w:eastAsia="华文仿宋" w:cs="华文仿宋"/>
          <w:i w:val="0"/>
          <w:caps w:val="0"/>
          <w:color w:val="auto"/>
          <w:spacing w:val="0"/>
          <w:sz w:val="32"/>
          <w:szCs w:val="32"/>
          <w:shd w:val="clear" w:color="auto" w:fill="FFFFFF"/>
        </w:rPr>
        <w:t>名学生实施了每天</w:t>
      </w:r>
      <w:r>
        <w:rPr>
          <w:rFonts w:hint="eastAsia" w:cs="Times New Roman"/>
          <w:kern w:val="2"/>
          <w:sz w:val="32"/>
          <w:szCs w:val="22"/>
          <w:u w:val="single"/>
          <w:lang w:val="en-US" w:eastAsia="zh-CN" w:bidi="ar-SA"/>
        </w:rPr>
        <w:t>4</w:t>
      </w:r>
      <w:r>
        <w:rPr>
          <w:rFonts w:hint="eastAsia" w:ascii="华文仿宋" w:hAnsi="华文仿宋" w:eastAsia="华文仿宋" w:cs="华文仿宋"/>
          <w:i w:val="0"/>
          <w:caps w:val="0"/>
          <w:color w:val="auto"/>
          <w:spacing w:val="0"/>
          <w:sz w:val="32"/>
          <w:szCs w:val="32"/>
          <w:shd w:val="clear" w:color="auto" w:fill="FFFFFF"/>
        </w:rPr>
        <w:t>元免费菜品的食堂供餐</w:t>
      </w:r>
      <w:r>
        <w:rPr>
          <w:rFonts w:hint="eastAsia" w:ascii="华文仿宋" w:hAnsi="华文仿宋" w:eastAsia="华文仿宋" w:cs="华文仿宋"/>
          <w:i w:val="0"/>
          <w:caps w:val="0"/>
          <w:color w:val="auto"/>
          <w:spacing w:val="0"/>
          <w:sz w:val="32"/>
          <w:szCs w:val="32"/>
          <w:shd w:val="clear" w:color="auto" w:fill="FFFFFF"/>
          <w:lang w:eastAsia="zh-CN"/>
        </w:rPr>
        <w:t>，</w:t>
      </w:r>
      <w:r>
        <w:rPr>
          <w:rFonts w:hint="eastAsia" w:ascii="华文仿宋" w:hAnsi="华文仿宋" w:eastAsia="华文仿宋" w:cs="华文仿宋"/>
          <w:i w:val="0"/>
          <w:caps w:val="0"/>
          <w:color w:val="auto"/>
          <w:spacing w:val="0"/>
          <w:sz w:val="32"/>
          <w:szCs w:val="32"/>
          <w:shd w:val="clear" w:color="auto" w:fill="FFFFFF"/>
        </w:rPr>
        <w:t>下半年对</w:t>
      </w:r>
      <w:r>
        <w:rPr>
          <w:rFonts w:hint="eastAsia" w:cs="Times New Roman"/>
          <w:kern w:val="2"/>
          <w:sz w:val="32"/>
          <w:szCs w:val="22"/>
          <w:u w:val="single"/>
          <w:lang w:val="en-US" w:eastAsia="zh-CN" w:bidi="ar-SA"/>
        </w:rPr>
        <w:t>339</w:t>
      </w:r>
      <w:r>
        <w:rPr>
          <w:rFonts w:hint="eastAsia" w:cs="Times New Roman"/>
          <w:kern w:val="2"/>
          <w:sz w:val="32"/>
          <w:szCs w:val="22"/>
          <w:u w:val="none"/>
          <w:lang w:val="en-US" w:eastAsia="zh-CN" w:bidi="ar-SA"/>
        </w:rPr>
        <w:t>名学生提供牛奶，</w:t>
      </w:r>
      <w:r>
        <w:rPr>
          <w:rFonts w:hint="eastAsia" w:cs="Times New Roman"/>
          <w:kern w:val="2"/>
          <w:sz w:val="32"/>
          <w:szCs w:val="22"/>
          <w:u w:val="single"/>
          <w:lang w:val="en-US" w:eastAsia="zh-CN" w:bidi="ar-SA"/>
        </w:rPr>
        <w:t>55</w:t>
      </w:r>
      <w:r>
        <w:rPr>
          <w:rFonts w:hint="eastAsia" w:ascii="华文仿宋" w:hAnsi="华文仿宋" w:eastAsia="华文仿宋" w:cs="华文仿宋"/>
          <w:i w:val="0"/>
          <w:caps w:val="0"/>
          <w:color w:val="auto"/>
          <w:spacing w:val="0"/>
          <w:sz w:val="32"/>
          <w:szCs w:val="32"/>
          <w:shd w:val="clear" w:color="auto" w:fill="FFFFFF"/>
        </w:rPr>
        <w:t>名学生实施了每天</w:t>
      </w:r>
      <w:r>
        <w:rPr>
          <w:rFonts w:hint="eastAsia" w:cs="Times New Roman"/>
          <w:kern w:val="2"/>
          <w:sz w:val="32"/>
          <w:szCs w:val="22"/>
          <w:u w:val="single"/>
          <w:lang w:val="en-US" w:eastAsia="zh-CN" w:bidi="ar-SA"/>
        </w:rPr>
        <w:t>4</w:t>
      </w:r>
      <w:r>
        <w:rPr>
          <w:rFonts w:hint="eastAsia" w:ascii="华文仿宋" w:hAnsi="华文仿宋" w:eastAsia="华文仿宋" w:cs="华文仿宋"/>
          <w:i w:val="0"/>
          <w:caps w:val="0"/>
          <w:color w:val="auto"/>
          <w:spacing w:val="0"/>
          <w:sz w:val="32"/>
          <w:szCs w:val="32"/>
          <w:shd w:val="clear" w:color="auto" w:fill="FFFFFF"/>
        </w:rPr>
        <w:t>元免费菜品的食堂供餐。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r>
        <w:rPr>
          <w:rFonts w:hint="eastAsia" w:ascii="华文仿宋" w:hAnsi="华文仿宋" w:eastAsia="华文仿宋" w:cs="华文仿宋"/>
          <w:i w:val="0"/>
          <w:caps w:val="0"/>
          <w:color w:val="auto"/>
          <w:spacing w:val="0"/>
          <w:sz w:val="32"/>
          <w:szCs w:val="32"/>
          <w:shd w:val="clear" w:color="auto" w:fill="FFFFFF"/>
        </w:rPr>
        <w:t>实施一年来，一是严格按照省市有关要求，严肃财经纪律，保障资金安全，及时下达营养改善资金，确保</w:t>
      </w:r>
      <w:r>
        <w:rPr>
          <w:rFonts w:hint="eastAsia" w:ascii="华文仿宋" w:hAnsi="华文仿宋" w:eastAsia="华文仿宋" w:cs="华文仿宋"/>
          <w:i w:val="0"/>
          <w:caps w:val="0"/>
          <w:color w:val="auto"/>
          <w:spacing w:val="0"/>
          <w:sz w:val="32"/>
          <w:szCs w:val="32"/>
          <w:shd w:val="clear" w:color="auto" w:fill="FFFFFF"/>
          <w:lang w:val="en-US" w:eastAsia="zh-CN"/>
        </w:rPr>
        <w:t>中学生</w:t>
      </w:r>
      <w:r>
        <w:rPr>
          <w:rFonts w:hint="eastAsia" w:ascii="华文仿宋" w:hAnsi="华文仿宋" w:eastAsia="华文仿宋" w:cs="华文仿宋"/>
          <w:i w:val="0"/>
          <w:caps w:val="0"/>
          <w:color w:val="auto"/>
          <w:spacing w:val="0"/>
          <w:sz w:val="32"/>
          <w:szCs w:val="32"/>
          <w:shd w:val="clear" w:color="auto" w:fill="FFFFFF"/>
        </w:rPr>
        <w:t>正常免费供应营养餐。二是规范营养计划管理，确保食品安全。三是加强运行监管，进一步改善义务教育学生营养状况，逐步提高学生健康水平。四是做好了实名制人员信息公示，确保营养计划政策落实到位。五是全年按预定计划完成了年度工作任务，得到了社会、学生及家长的好评。下一步改进措施：加强营养餐品种供应多种化，提高学生进食积极性</w:t>
      </w:r>
      <w:r>
        <w:rPr>
          <w:rFonts w:hint="eastAsia" w:ascii="华文仿宋" w:hAnsi="华文仿宋" w:eastAsia="华文仿宋" w:cs="华文仿宋"/>
          <w:i w:val="0"/>
          <w:caps w:val="0"/>
          <w:color w:val="auto"/>
          <w:spacing w:val="0"/>
          <w:sz w:val="32"/>
          <w:szCs w:val="32"/>
          <w:shd w:val="clear" w:color="auto" w:fill="FFFFFF"/>
          <w:lang w:eastAsia="zh-CN"/>
        </w:rPr>
        <w:t>，</w:t>
      </w:r>
      <w:r>
        <w:rPr>
          <w:rFonts w:hint="eastAsia" w:ascii="华文仿宋" w:hAnsi="华文仿宋" w:eastAsia="华文仿宋" w:cs="华文仿宋"/>
          <w:i w:val="0"/>
          <w:caps w:val="0"/>
          <w:color w:val="auto"/>
          <w:spacing w:val="0"/>
          <w:sz w:val="32"/>
          <w:szCs w:val="32"/>
          <w:shd w:val="clear" w:color="auto" w:fill="FFFFFF"/>
          <w:lang w:val="en-US" w:eastAsia="zh-CN"/>
        </w:rPr>
        <w:t>提高食堂供餐率</w:t>
      </w:r>
      <w:r>
        <w:rPr>
          <w:rFonts w:hint="eastAsia" w:ascii="华文仿宋" w:hAnsi="华文仿宋" w:eastAsia="华文仿宋" w:cs="华文仿宋"/>
          <w:i w:val="0"/>
          <w:caps w:val="0"/>
          <w:color w:val="auto"/>
          <w:spacing w:val="0"/>
          <w:sz w:val="32"/>
          <w:szCs w:val="32"/>
          <w:shd w:val="clear" w:color="auto" w:fill="FFFFFF"/>
        </w:rPr>
        <w:t>；加强食品监管，多与学生家长互动交流，及时发现安全隐患</w:t>
      </w:r>
      <w:r>
        <w:rPr>
          <w:rFonts w:hint="eastAsia" w:ascii="华文仿宋" w:hAnsi="华文仿宋" w:eastAsia="华文仿宋" w:cs="华文仿宋"/>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593" w:firstLineChars="1430"/>
        <w:jc w:val="left"/>
        <w:textAlignment w:val="auto"/>
        <w:rPr>
          <w:rFonts w:hint="eastAsia"/>
          <w:b/>
          <w:bCs/>
          <w:sz w:val="32"/>
          <w:szCs w:val="32"/>
          <w:lang w:val="en-US" w:eastAsia="zh-CN"/>
        </w:rPr>
      </w:pPr>
      <w:r>
        <w:rPr>
          <w:rFonts w:hint="eastAsia"/>
          <w:b/>
          <w:bCs/>
          <w:sz w:val="32"/>
          <w:szCs w:val="32"/>
          <w:lang w:val="en-US" w:eastAsia="zh-CN"/>
        </w:rPr>
        <w:t>通山县慈口乡中心小学绩效自评结果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tbl>
      <w:tblPr>
        <w:tblStyle w:val="8"/>
        <w:tblpPr w:leftFromText="180" w:rightFromText="180" w:vertAnchor="page" w:horzAnchor="page" w:tblpX="2016" w:tblpY="5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21"/>
        <w:gridCol w:w="2841"/>
        <w:gridCol w:w="1479"/>
        <w:gridCol w:w="1183"/>
        <w:gridCol w:w="1196"/>
        <w:gridCol w:w="1398"/>
        <w:gridCol w:w="139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rPr>
        <w:tc>
          <w:tcPr>
            <w:tcW w:w="749"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序号</w:t>
            </w:r>
          </w:p>
        </w:tc>
        <w:tc>
          <w:tcPr>
            <w:tcW w:w="1021"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项目名称</w:t>
            </w:r>
          </w:p>
        </w:tc>
        <w:tc>
          <w:tcPr>
            <w:tcW w:w="2841"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项目实施单位</w:t>
            </w:r>
          </w:p>
        </w:tc>
        <w:tc>
          <w:tcPr>
            <w:tcW w:w="1479"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主管部门</w:t>
            </w:r>
          </w:p>
        </w:tc>
        <w:tc>
          <w:tcPr>
            <w:tcW w:w="1183"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主管科室</w:t>
            </w:r>
          </w:p>
        </w:tc>
        <w:tc>
          <w:tcPr>
            <w:tcW w:w="1196"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预算数</w:t>
            </w:r>
          </w:p>
        </w:tc>
        <w:tc>
          <w:tcPr>
            <w:tcW w:w="1398"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执行数</w:t>
            </w:r>
          </w:p>
        </w:tc>
        <w:tc>
          <w:tcPr>
            <w:tcW w:w="1398"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自评得分</w:t>
            </w:r>
          </w:p>
        </w:tc>
        <w:tc>
          <w:tcPr>
            <w:tcW w:w="2054"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是否公开自评得分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9" w:hRule="atLeast"/>
        </w:trPr>
        <w:tc>
          <w:tcPr>
            <w:tcW w:w="749"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1</w:t>
            </w:r>
          </w:p>
        </w:tc>
        <w:tc>
          <w:tcPr>
            <w:tcW w:w="1021"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学生营养餐</w:t>
            </w:r>
          </w:p>
        </w:tc>
        <w:tc>
          <w:tcPr>
            <w:tcW w:w="2841"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通山县慈口乡中心小学</w:t>
            </w:r>
          </w:p>
        </w:tc>
        <w:tc>
          <w:tcPr>
            <w:tcW w:w="1479"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通山县教育局</w:t>
            </w:r>
          </w:p>
        </w:tc>
        <w:tc>
          <w:tcPr>
            <w:tcW w:w="1183" w:type="dxa"/>
            <w:noWrap w:val="0"/>
            <w:vAlign w:val="top"/>
          </w:tcPr>
          <w:p>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教科文</w:t>
            </w:r>
          </w:p>
        </w:tc>
        <w:tc>
          <w:tcPr>
            <w:tcW w:w="1196" w:type="dxa"/>
            <w:noWrap w:val="0"/>
            <w:vAlign w:val="top"/>
          </w:tcPr>
          <w:p>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20</w:t>
            </w:r>
          </w:p>
        </w:tc>
        <w:tc>
          <w:tcPr>
            <w:tcW w:w="1398" w:type="dxa"/>
            <w:noWrap w:val="0"/>
            <w:vAlign w:val="top"/>
          </w:tcPr>
          <w:p>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19.48</w:t>
            </w:r>
          </w:p>
        </w:tc>
        <w:tc>
          <w:tcPr>
            <w:tcW w:w="1398" w:type="dxa"/>
            <w:noWrap w:val="0"/>
            <w:vAlign w:val="top"/>
          </w:tcPr>
          <w:p>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95</w:t>
            </w:r>
          </w:p>
        </w:tc>
        <w:tc>
          <w:tcPr>
            <w:tcW w:w="2054" w:type="dxa"/>
            <w:noWrap w:val="0"/>
            <w:vAlign w:val="top"/>
          </w:tcPr>
          <w:p>
            <w:pPr>
              <w:rPr>
                <w:rFonts w:hint="eastAsia" w:ascii="宋体" w:hAnsi="宋体" w:eastAsia="宋体" w:cs="宋体"/>
                <w:sz w:val="28"/>
                <w:szCs w:val="36"/>
                <w:vertAlign w:val="baseline"/>
                <w:lang w:eastAsia="zh-CN"/>
              </w:rPr>
            </w:pPr>
            <w:r>
              <w:rPr>
                <w:rFonts w:hint="eastAsia" w:ascii="宋体" w:hAnsi="宋体" w:eastAsia="宋体" w:cs="宋体"/>
                <w:sz w:val="28"/>
                <w:szCs w:val="36"/>
                <w:vertAlign w:val="baseline"/>
                <w:lang w:eastAsia="zh-CN"/>
              </w:rPr>
              <w:t>是</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p>
    <w:tbl>
      <w:tblPr>
        <w:tblStyle w:val="7"/>
        <w:tblpPr w:leftFromText="180" w:rightFromText="180" w:vertAnchor="text" w:horzAnchor="page" w:tblpX="1313" w:tblpY="3497"/>
        <w:tblOverlap w:val="never"/>
        <w:tblW w:w="0" w:type="auto"/>
        <w:tblInd w:w="0" w:type="dxa"/>
        <w:tblLayout w:type="fixed"/>
        <w:tblCellMar>
          <w:top w:w="0" w:type="dxa"/>
          <w:left w:w="108" w:type="dxa"/>
          <w:bottom w:w="0" w:type="dxa"/>
          <w:right w:w="108" w:type="dxa"/>
        </w:tblCellMar>
      </w:tblPr>
      <w:tblGrid>
        <w:gridCol w:w="1277"/>
        <w:gridCol w:w="1278"/>
        <w:gridCol w:w="1845"/>
        <w:gridCol w:w="970"/>
        <w:gridCol w:w="3354"/>
        <w:gridCol w:w="1004"/>
        <w:gridCol w:w="1004"/>
        <w:gridCol w:w="1004"/>
        <w:gridCol w:w="1004"/>
        <w:gridCol w:w="1434"/>
      </w:tblGrid>
      <w:tr>
        <w:tblPrEx>
          <w:tblCellMar>
            <w:top w:w="0" w:type="dxa"/>
            <w:left w:w="108" w:type="dxa"/>
            <w:bottom w:w="0" w:type="dxa"/>
            <w:right w:w="108" w:type="dxa"/>
          </w:tblCellMar>
        </w:tblPrEx>
        <w:trPr>
          <w:trHeight w:val="692" w:hRule="atLeast"/>
        </w:trPr>
        <w:tc>
          <w:tcPr>
            <w:tcW w:w="14174" w:type="dxa"/>
            <w:gridSpan w:val="10"/>
            <w:tcBorders>
              <w:top w:val="nil"/>
              <w:left w:val="nil"/>
              <w:bottom w:val="single" w:color="auto" w:sz="4" w:space="0"/>
              <w:right w:val="nil"/>
            </w:tcBorders>
            <w:noWrap w:val="0"/>
            <w:vAlign w:val="center"/>
          </w:tcPr>
          <w:p>
            <w:pPr>
              <w:widowControl/>
              <w:jc w:val="center"/>
              <w:rPr>
                <w:rFonts w:ascii="宋体" w:hAnsi="宋体" w:cs="宋体"/>
                <w:b/>
                <w:bCs/>
                <w:kern w:val="0"/>
                <w:sz w:val="24"/>
                <w:szCs w:val="24"/>
              </w:rPr>
            </w:pPr>
            <w:r>
              <w:rPr>
                <w:rFonts w:hint="eastAsia" w:ascii="宋体" w:hAnsi="宋体" w:eastAsia="宋体" w:cs="宋体"/>
                <w:b/>
                <w:bCs/>
                <w:kern w:val="0"/>
                <w:sz w:val="24"/>
                <w:szCs w:val="24"/>
              </w:rPr>
              <w:t>202</w:t>
            </w: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年</w:t>
            </w:r>
            <w:r>
              <w:rPr>
                <w:rFonts w:hint="eastAsia" w:ascii="宋体" w:hAnsi="宋体" w:eastAsia="宋体" w:cs="宋体"/>
                <w:b/>
                <w:bCs/>
                <w:kern w:val="0"/>
                <w:sz w:val="24"/>
                <w:szCs w:val="24"/>
                <w:lang w:val="en-US" w:eastAsia="zh-CN"/>
              </w:rPr>
              <w:t>慈口乡中心小学</w:t>
            </w:r>
            <w:r>
              <w:rPr>
                <w:rFonts w:hint="eastAsia" w:ascii="宋体" w:hAnsi="宋体" w:eastAsia="宋体" w:cs="宋体"/>
                <w:b/>
                <w:bCs/>
                <w:kern w:val="0"/>
                <w:sz w:val="24"/>
                <w:szCs w:val="24"/>
              </w:rPr>
              <w:t>整体支出绩效评价表</w:t>
            </w:r>
          </w:p>
        </w:tc>
      </w:tr>
      <w:tr>
        <w:tblPrEx>
          <w:tblCellMar>
            <w:top w:w="0" w:type="dxa"/>
            <w:left w:w="108" w:type="dxa"/>
            <w:bottom w:w="0" w:type="dxa"/>
            <w:right w:w="108" w:type="dxa"/>
          </w:tblCellMar>
        </w:tblPrEx>
        <w:trPr>
          <w:trHeight w:val="452" w:hRule="atLeast"/>
        </w:trPr>
        <w:tc>
          <w:tcPr>
            <w:tcW w:w="440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绩效指标</w:t>
            </w:r>
          </w:p>
        </w:tc>
        <w:tc>
          <w:tcPr>
            <w:tcW w:w="97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指标分值</w:t>
            </w:r>
          </w:p>
        </w:tc>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计分标准</w:t>
            </w:r>
          </w:p>
        </w:tc>
        <w:tc>
          <w:tcPr>
            <w:tcW w:w="200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评价方式</w:t>
            </w:r>
          </w:p>
        </w:tc>
        <w:tc>
          <w:tcPr>
            <w:tcW w:w="200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评价属性</w:t>
            </w:r>
          </w:p>
        </w:tc>
        <w:tc>
          <w:tcPr>
            <w:tcW w:w="14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自评分</w:t>
            </w:r>
          </w:p>
        </w:tc>
      </w:tr>
      <w:tr>
        <w:tblPrEx>
          <w:tblCellMar>
            <w:top w:w="0" w:type="dxa"/>
            <w:left w:w="108" w:type="dxa"/>
            <w:bottom w:w="0" w:type="dxa"/>
            <w:right w:w="108" w:type="dxa"/>
          </w:tblCellMar>
        </w:tblPrEx>
        <w:trPr>
          <w:trHeight w:val="647" w:hRule="atLeast"/>
        </w:trPr>
        <w:tc>
          <w:tcPr>
            <w:tcW w:w="127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1278"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p>
        </w:tc>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szCs w:val="20"/>
              </w:rPr>
            </w:pP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整体评价</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样本评价</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定性评价</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定量评价</w:t>
            </w:r>
          </w:p>
        </w:tc>
        <w:tc>
          <w:tcPr>
            <w:tcW w:w="14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r>
      <w:tr>
        <w:trPr>
          <w:trHeight w:val="1264" w:hRule="atLeast"/>
        </w:trPr>
        <w:tc>
          <w:tcPr>
            <w:tcW w:w="12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部门预算管理（55分）</w:t>
            </w:r>
          </w:p>
        </w:tc>
        <w:tc>
          <w:tcPr>
            <w:tcW w:w="12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预算编制（23分）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目标制定</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1.绩效目标编制要素完整的，得4分，否则酌情扣分。                                                       2.绩效指标细化量化的，得4分，否则酌情扣分。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r>
      <w:tr>
        <w:tblPrEx>
          <w:tblCellMar>
            <w:top w:w="0" w:type="dxa"/>
            <w:left w:w="108" w:type="dxa"/>
            <w:bottom w:w="0" w:type="dxa"/>
            <w:right w:w="108" w:type="dxa"/>
          </w:tblCellMar>
        </w:tblPrEx>
        <w:trPr>
          <w:trHeight w:val="1987"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目标完成</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以项目完成数量指标为核心，评价项目实际完成情况是否达到预期绩效目标，指标得分=达到预期绩效目标的部门项目个数/纳入绩效目标管理的部门预算项目个数*8</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647"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报送时效</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根据年初部门预算绩效目标填报情况打分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2860"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预算执行（18分）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动态调整</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在绩效监控完成后，根据绩效监控结果对当年执行进度落后、无法实现或需进行调整的项目进行预算及绩效目标调整的，指标得分=落实绩效监控结果项目个数/绩效监控需调整项目总数*6分                                                                当部门项目无调整项目并按照原定绩效目标实施的，得满分。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r>
      <w:tr>
        <w:trPr>
          <w:trHeight w:val="699"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执行进度</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部门预算支出执行进度在6、9、11月应达到序时进度的60%、80%、90%，即实际支出进度分别达到40%、67.5%、82.5%。                                                     6、9、11月部门预算执行进度达到量化指标的各得2分，未达到目标进度</w:t>
            </w:r>
            <w:r>
              <w:rPr>
                <w:rFonts w:hint="eastAsia" w:ascii="宋体" w:hAnsi="宋体" w:cs="宋体"/>
                <w:kern w:val="0"/>
                <w:sz w:val="20"/>
                <w:szCs w:val="20"/>
                <w:lang w:eastAsia="zh-CN"/>
              </w:rPr>
              <w:t>的</w:t>
            </w:r>
            <w:r>
              <w:rPr>
                <w:rFonts w:hint="eastAsia" w:ascii="宋体" w:hAnsi="宋体" w:cs="宋体"/>
                <w:kern w:val="0"/>
                <w:sz w:val="20"/>
                <w:szCs w:val="20"/>
              </w:rPr>
              <w:t>按其实际进度占目标进度的比重计算得分。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1848"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0"/>
                <w:szCs w:val="20"/>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报送时效</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县级主管部门应在规定时间内将本级及下属二级预算单位1-8月绩效监控报告报送县财政局，延迟报送的酌情扣分，未报送的不得分。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CellMar>
            <w:top w:w="0" w:type="dxa"/>
            <w:left w:w="108" w:type="dxa"/>
            <w:bottom w:w="0" w:type="dxa"/>
            <w:right w:w="108" w:type="dxa"/>
          </w:tblCellMar>
        </w:tblPrEx>
        <w:trPr>
          <w:trHeight w:val="963"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完成结果（14分）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预算完成</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部门预算项目12月预算执行进度达到100%的，得7分，未达100%的，按照实际进度量化计算得分。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CellMar>
            <w:top w:w="0" w:type="dxa"/>
            <w:left w:w="108" w:type="dxa"/>
            <w:bottom w:w="0" w:type="dxa"/>
            <w:right w:w="108" w:type="dxa"/>
          </w:tblCellMar>
        </w:tblPrEx>
        <w:trPr>
          <w:trHeight w:val="1445" w:hRule="atLeast"/>
        </w:trPr>
        <w:tc>
          <w:tcPr>
            <w:tcW w:w="12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2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违规记录</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依据上一年度巡视巡察、审计监督、财政检查结果，出现部门预算管理方面违纪违规问题的，每个问题扣0.5分，直至扣完。</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7</w:t>
            </w:r>
          </w:p>
        </w:tc>
      </w:tr>
      <w:tr>
        <w:trPr>
          <w:trHeight w:val="1927" w:hRule="atLeast"/>
        </w:trPr>
        <w:tc>
          <w:tcPr>
            <w:tcW w:w="127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专项预算管理（20分）</w:t>
            </w:r>
          </w:p>
        </w:tc>
        <w:tc>
          <w:tcPr>
            <w:tcW w:w="12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项目决策（8分）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程序严密</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1.专项项目设立时经过事前绩效评估或可行性论证的，得1.5分，否则不得分。                                                         2.专项资金的管理办法健全完善的，得1.5分，否则酌情扣分，无管理办法的，该指标不得分。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2649"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规划合理</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1.专项项目（除一次性项目外）制定了中长期规划的，得1分，否则该三级指标整体不得分。                                                           2.项目规划符合县委、县政府重大决策部署和宏观政策规划的，得1分。                                                                        3.项目年度绩效目标与专项中长期规划一致的，得1分，有一处不符合的扣0.2分。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2248"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结果符合</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实际完成任务量和效果达到规划预期情况的，得满分。按项目法分配的项目，以所有项目点实施完成情况与规划计划情况进行对比。按因素法分配的项目和据实据效分配的项目，将资金分配方向与规划计划支持方向进行对比。完全达到预期的得满分。未完全达到规划预期情况的，以达到预期情况的资金量占项目总金额占比计分。指标得分=项目</w:t>
            </w:r>
            <w:r>
              <w:rPr>
                <w:rFonts w:hint="eastAsia" w:ascii="宋体" w:hAnsi="宋体" w:cs="宋体"/>
                <w:kern w:val="0"/>
                <w:sz w:val="20"/>
                <w:szCs w:val="20"/>
                <w:lang w:eastAsia="zh-CN"/>
              </w:rPr>
              <w:t>实施</w:t>
            </w:r>
            <w:r>
              <w:rPr>
                <w:rFonts w:hint="eastAsia" w:ascii="宋体" w:hAnsi="宋体" w:cs="宋体"/>
                <w:kern w:val="0"/>
                <w:sz w:val="20"/>
                <w:szCs w:val="20"/>
              </w:rPr>
              <w:t>结果符合规划的金额/项目总金额*2</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r>
      <w:tr>
        <w:tblPrEx>
          <w:tblCellMar>
            <w:top w:w="0" w:type="dxa"/>
            <w:left w:w="108" w:type="dxa"/>
            <w:bottom w:w="0" w:type="dxa"/>
            <w:right w:w="108" w:type="dxa"/>
          </w:tblCellMar>
        </w:tblPrEx>
        <w:trPr>
          <w:trHeight w:val="2649"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项目实施（4分）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分配科学</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1.项目分配选取了科学的绩效分配方法，得1分；                                       2.采用因素分配法的项目，项目因素选取合理的，得1分；采用项目法分配的项目，评分标准和立项程序合理规范的，得1分；据实据效的项目，基础数据真实，测算精准的，得1分。否则，酌情扣分。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rPr>
          <w:trHeight w:val="723"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分配及时</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按《预算法》规定时限完成分配的考核得2分，否则不得分。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1174"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完成结果（8分）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预算完成</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专项资金实际支出进度达到100%的，得3分，未达到100%的，指标得分=实际拨付使用金额/专项项目金额*3。</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r>
      <w:tr>
        <w:tblPrEx>
          <w:tblCellMar>
            <w:top w:w="0" w:type="dxa"/>
            <w:left w:w="108" w:type="dxa"/>
            <w:bottom w:w="0" w:type="dxa"/>
            <w:right w:w="108" w:type="dxa"/>
          </w:tblCellMar>
        </w:tblPrEx>
        <w:trPr>
          <w:trHeight w:val="2168"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实施绩效</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部门专项项目属于当年财政重点评价范围的，该项得分使用项目支出评价共性指标、特性指标和个性指标得分换算。若部门专项项目不属于当年重点评价范围的，采用最近年度重点评价相关指标得分换算。</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1204" w:hRule="atLeast"/>
        </w:trPr>
        <w:tc>
          <w:tcPr>
            <w:tcW w:w="127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违规记录</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依据上一年度巡视巡察、审计、财政检查结果，出现专项预算管理方面违纪违规问题的，每个问题扣0.2分，直至扣完。</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r>
      <w:tr>
        <w:trPr>
          <w:trHeight w:val="963" w:hRule="atLeast"/>
        </w:trPr>
        <w:tc>
          <w:tcPr>
            <w:tcW w:w="12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绩效结果应用（25分）</w:t>
            </w:r>
          </w:p>
        </w:tc>
        <w:tc>
          <w:tcPr>
            <w:tcW w:w="12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信息公开（10分）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目标公开</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按要求将部门预算绩效目标进行公开的，得5分。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723" w:hRule="atLeast"/>
        </w:trPr>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自评公开</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按要求在内网或外网公开的，得5分。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987" w:hRule="atLeast"/>
        </w:trPr>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2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整改反馈（15分）</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结果整改</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针对绩效管理过程中（包括绩效目标核查、绩效监控核查和重点绩效评价）提出的问题，发现一处未整改的，扣1分，直至扣完。</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r>
      <w:tr>
        <w:tblPrEx>
          <w:tblCellMar>
            <w:top w:w="0" w:type="dxa"/>
            <w:left w:w="108" w:type="dxa"/>
            <w:bottom w:w="0" w:type="dxa"/>
            <w:right w:w="108" w:type="dxa"/>
          </w:tblCellMar>
        </w:tblPrEx>
        <w:trPr>
          <w:trHeight w:val="1355" w:hRule="atLeast"/>
        </w:trPr>
        <w:tc>
          <w:tcPr>
            <w:tcW w:w="12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2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应用反馈</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部门在规定时间内向财政部门反馈应用绩效结果报告的，得满分，否则不得分。</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14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r>
      <w:tr>
        <w:trPr>
          <w:trHeight w:val="783" w:hRule="atLeast"/>
        </w:trPr>
        <w:tc>
          <w:tcPr>
            <w:tcW w:w="127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27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84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335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401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得分合计</w:t>
            </w:r>
          </w:p>
        </w:tc>
        <w:tc>
          <w:tcPr>
            <w:tcW w:w="143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r>
    </w:tbl>
    <w:p>
      <w:pPr>
        <w:spacing w:line="560" w:lineRule="exact"/>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加强项目规划、绩效目标管理、完善项目分配办法和管理办法、加强项目管理、结果与预算安排相结合等。</w:t>
      </w:r>
    </w:p>
    <w:p>
      <w:pPr>
        <w:spacing w:line="560" w:lineRule="exact"/>
        <w:ind w:firstLine="640" w:firstLineChars="200"/>
        <w:rPr>
          <w:rFonts w:hint="eastAsia" w:ascii="黑体" w:hAnsi="黑体" w:eastAsia="黑体" w:cs="黑体"/>
          <w:color w:val="7E7E7E"/>
          <w:kern w:val="2"/>
          <w:sz w:val="32"/>
          <w:szCs w:val="32"/>
          <w:lang w:val="en-US" w:eastAsia="zh-CN" w:bidi="ar-SA"/>
        </w:rPr>
      </w:pPr>
      <w:r>
        <w:rPr>
          <w:rFonts w:hint="eastAsia" w:ascii="黑体" w:hAnsi="黑体" w:eastAsia="黑体" w:cs="黑体"/>
          <w:kern w:val="2"/>
          <w:sz w:val="32"/>
          <w:szCs w:val="32"/>
          <w:lang w:val="en-US" w:eastAsia="zh-CN" w:bidi="ar-SA"/>
        </w:rPr>
        <w:t xml:space="preserve">十四、财政专项支出、专项转移支付支出情况 </w:t>
      </w:r>
    </w:p>
    <w:p>
      <w:pPr>
        <w:pageBreakBefore w:val="0"/>
        <w:widowControl w:val="0"/>
        <w:kinsoku/>
        <w:wordWrap/>
        <w:overflowPunct/>
        <w:topLinePunct w:val="0"/>
        <w:bidi w:val="0"/>
        <w:spacing w:line="360" w:lineRule="auto"/>
        <w:ind w:firstLine="664" w:firstLineChars="200"/>
        <w:textAlignment w:val="auto"/>
        <w:rPr>
          <w:rFonts w:hint="eastAsia" w:ascii="仿宋_GB2312" w:eastAsia="仿宋_GB2312"/>
          <w:spacing w:val="6"/>
          <w:sz w:val="32"/>
          <w:szCs w:val="32"/>
          <w:highlight w:val="none"/>
          <w:lang w:val="en-US" w:eastAsia="zh-CN"/>
        </w:rPr>
      </w:pPr>
      <w:r>
        <w:rPr>
          <w:rFonts w:hint="eastAsia" w:ascii="仿宋_GB2312" w:eastAsia="仿宋_GB2312"/>
          <w:spacing w:val="6"/>
          <w:sz w:val="32"/>
          <w:szCs w:val="32"/>
          <w:highlight w:val="none"/>
          <w:lang w:val="en-US" w:eastAsia="zh-CN"/>
        </w:rPr>
        <w:t>无</w:t>
      </w:r>
    </w:p>
    <w:p>
      <w:pPr>
        <w:pStyle w:val="1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其他需要说明的情况</w:t>
      </w:r>
    </w:p>
    <w:p>
      <w:pPr>
        <w:pageBreakBefore w:val="0"/>
        <w:widowControl w:val="0"/>
        <w:kinsoku/>
        <w:wordWrap/>
        <w:overflowPunct/>
        <w:topLinePunct w:val="0"/>
        <w:bidi w:val="0"/>
        <w:spacing w:line="360" w:lineRule="auto"/>
        <w:ind w:firstLine="664" w:firstLineChars="200"/>
        <w:textAlignment w:val="auto"/>
        <w:rPr>
          <w:rFonts w:hint="eastAsia" w:ascii="仿宋_GB2312" w:eastAsia="仿宋_GB2312"/>
          <w:spacing w:val="6"/>
          <w:sz w:val="32"/>
          <w:szCs w:val="32"/>
          <w:highlight w:val="none"/>
          <w:lang w:val="en-US" w:eastAsia="zh-CN"/>
        </w:rPr>
      </w:pPr>
      <w:r>
        <w:rPr>
          <w:rFonts w:hint="eastAsia" w:ascii="仿宋_GB2312" w:eastAsia="仿宋_GB2312"/>
          <w:spacing w:val="6"/>
          <w:sz w:val="32"/>
          <w:szCs w:val="32"/>
          <w:highlight w:val="none"/>
          <w:lang w:val="en-US" w:eastAsia="zh-CN"/>
        </w:rPr>
        <w:t>无</w:t>
      </w:r>
    </w:p>
    <w:p>
      <w:pPr>
        <w:pStyle w:val="1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pPr>
        <w:pageBreakBefore w:val="0"/>
        <w:widowControl w:val="0"/>
        <w:kinsoku/>
        <w:wordWrap/>
        <w:overflowPunct/>
        <w:topLinePunct w:val="0"/>
        <w:bidi w:val="0"/>
        <w:spacing w:line="360" w:lineRule="auto"/>
        <w:ind w:firstLine="640" w:firstLineChars="200"/>
        <w:textAlignment w:val="auto"/>
        <w:rPr>
          <w:rFonts w:hint="eastAsia" w:ascii="仿宋_GB2312" w:eastAsia="仿宋_GB2312"/>
          <w:bCs/>
          <w:kern w:val="44"/>
          <w:sz w:val="32"/>
          <w:szCs w:val="32"/>
          <w:highlight w:val="none"/>
          <w:lang w:eastAsia="zh-CN"/>
        </w:rPr>
      </w:pPr>
      <w:r>
        <w:rPr>
          <w:rFonts w:hint="eastAsia" w:ascii="仿宋_GB2312" w:eastAsia="仿宋_GB2312"/>
          <w:bCs/>
          <w:kern w:val="44"/>
          <w:sz w:val="32"/>
          <w:szCs w:val="32"/>
          <w:highlight w:val="none"/>
        </w:rPr>
        <w:t>(一)</w:t>
      </w:r>
      <w:r>
        <w:rPr>
          <w:rFonts w:hint="eastAsia" w:ascii="仿宋_GB2312" w:eastAsia="仿宋_GB2312"/>
          <w:spacing w:val="6"/>
          <w:sz w:val="32"/>
          <w:szCs w:val="32"/>
          <w:highlight w:val="none"/>
        </w:rPr>
        <w:t>一般公共预算</w:t>
      </w:r>
      <w:r>
        <w:rPr>
          <w:rFonts w:hint="eastAsia" w:ascii="仿宋_GB2312" w:eastAsia="仿宋_GB2312"/>
          <w:bCs/>
          <w:kern w:val="44"/>
          <w:sz w:val="32"/>
          <w:szCs w:val="32"/>
          <w:highlight w:val="none"/>
        </w:rPr>
        <w:t>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县</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spacing w:val="6"/>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pageBreakBefore w:val="0"/>
        <w:widowControl w:val="0"/>
        <w:kinsoku/>
        <w:wordWrap/>
        <w:overflowPunct/>
        <w:topLinePunct w:val="0"/>
        <w:bidi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县</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预算财政拨款收入：指</w:t>
      </w:r>
      <w:r>
        <w:rPr>
          <w:rFonts w:hint="eastAsia" w:ascii="仿宋_GB2312"/>
          <w:bCs/>
          <w:kern w:val="44"/>
          <w:sz w:val="32"/>
          <w:szCs w:val="32"/>
          <w:lang w:eastAsia="zh-CN"/>
        </w:rPr>
        <w:t>县</w:t>
      </w:r>
      <w:r>
        <w:rPr>
          <w:rFonts w:hint="eastAsia" w:ascii="仿宋_GB2312" w:eastAsia="仿宋_GB2312"/>
          <w:bCs/>
          <w:kern w:val="44"/>
          <w:sz w:val="32"/>
          <w:szCs w:val="32"/>
        </w:rPr>
        <w:t>级财政</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预算当年拨付的资金。</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color w:val="7E7E7E"/>
          <w:sz w:val="32"/>
          <w:szCs w:val="32"/>
          <w:highlight w:val="yellow"/>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sz w:val="32"/>
          <w:szCs w:val="32"/>
          <w:highlight w:val="none"/>
          <w:lang w:eastAsia="zh-CN"/>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color w:val="auto"/>
          <w:kern w:val="44"/>
          <w:sz w:val="32"/>
          <w:szCs w:val="32"/>
          <w:highlight w:val="none"/>
        </w:rPr>
      </w:pPr>
      <w:r>
        <w:rPr>
          <w:rFonts w:hint="eastAsia" w:ascii="仿宋_GB2312" w:eastAsia="仿宋_GB2312"/>
          <w:bCs/>
          <w:color w:val="auto"/>
          <w:kern w:val="44"/>
          <w:sz w:val="32"/>
          <w:szCs w:val="32"/>
          <w:highlight w:val="none"/>
        </w:rPr>
        <w:t>(</w:t>
      </w:r>
      <w:r>
        <w:rPr>
          <w:rFonts w:hint="eastAsia" w:ascii="仿宋_GB2312" w:eastAsia="仿宋_GB2312"/>
          <w:bCs/>
          <w:color w:val="auto"/>
          <w:kern w:val="44"/>
          <w:sz w:val="32"/>
          <w:szCs w:val="32"/>
          <w:highlight w:val="none"/>
          <w:lang w:eastAsia="zh-CN"/>
        </w:rPr>
        <w:t>十</w:t>
      </w:r>
      <w:r>
        <w:rPr>
          <w:rFonts w:hint="eastAsia" w:ascii="仿宋_GB2312" w:eastAsia="仿宋_GB2312"/>
          <w:bCs/>
          <w:color w:val="auto"/>
          <w:kern w:val="44"/>
          <w:sz w:val="32"/>
          <w:szCs w:val="32"/>
          <w:highlight w:val="none"/>
        </w:rPr>
        <w:t>)本部门使用的支出功能分类科目</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bCs/>
          <w:kern w:val="44"/>
          <w:sz w:val="32"/>
          <w:szCs w:val="32"/>
          <w:highlight w:val="none"/>
        </w:rPr>
        <w:t>1.</w:t>
      </w:r>
      <w:r>
        <w:rPr>
          <w:rFonts w:hint="eastAsia" w:ascii="仿宋_GB2312" w:eastAsia="仿宋_GB2312"/>
          <w:sz w:val="32"/>
          <w:szCs w:val="32"/>
          <w:highlight w:val="none"/>
        </w:rPr>
        <w:t>行政运行</w:t>
      </w:r>
      <w:r>
        <w:rPr>
          <w:rFonts w:hint="eastAsia" w:ascii="仿宋_GB2312"/>
          <w:sz w:val="32"/>
          <w:szCs w:val="32"/>
          <w:highlight w:val="none"/>
          <w:lang w:val="en-US" w:eastAsia="zh-CN"/>
        </w:rPr>
        <w:t>:指教育行政单位(包括实行公务员管理的事业单位)的基本支出。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2.</w:t>
      </w:r>
      <w:r>
        <w:rPr>
          <w:rFonts w:hint="eastAsia" w:ascii="仿宋_GB2312"/>
          <w:sz w:val="32"/>
          <w:szCs w:val="32"/>
          <w:highlight w:val="none"/>
          <w:lang w:val="en-US" w:eastAsia="zh-CN"/>
        </w:rPr>
        <w:t>一般行政管理事务：指行政单位（包括实行公务员管理的事业单位)未单独设置项级科目的其他项目支出。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sz w:val="32"/>
          <w:szCs w:val="32"/>
          <w:highlight w:val="none"/>
          <w:lang w:val="en-US" w:eastAsia="zh-CN"/>
        </w:rPr>
        <w:t>3.机关运行：指行政单位（包括实行公务员管理的事业单位)提供后勤服务的各类后勤服务中心、医疗室等附属事业单位的支出。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sz w:val="32"/>
          <w:szCs w:val="32"/>
          <w:highlight w:val="none"/>
          <w:lang w:val="en-US" w:eastAsia="zh-CN"/>
        </w:rPr>
      </w:pPr>
      <w:r>
        <w:rPr>
          <w:rFonts w:hint="eastAsia" w:ascii="仿宋_GB2312"/>
          <w:sz w:val="32"/>
          <w:szCs w:val="32"/>
          <w:highlight w:val="none"/>
          <w:lang w:val="en-US" w:eastAsia="zh-CN"/>
        </w:rPr>
        <w:t>4.其他教育管理事务支出：指除上述项目以外的其他用于教育管理事务的支出。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bCs/>
          <w:kern w:val="44"/>
          <w:sz w:val="32"/>
          <w:szCs w:val="32"/>
          <w:highlight w:val="none"/>
          <w:lang w:val="en-US" w:eastAsia="zh-CN"/>
        </w:rPr>
        <w:t>5.</w:t>
      </w:r>
      <w:r>
        <w:rPr>
          <w:rFonts w:hint="eastAsia" w:ascii="仿宋_GB2312"/>
          <w:sz w:val="32"/>
          <w:szCs w:val="32"/>
          <w:highlight w:val="none"/>
          <w:lang w:val="en-US" w:eastAsia="zh-CN"/>
        </w:rPr>
        <w:t>学前教育</w:t>
      </w:r>
      <w:r>
        <w:rPr>
          <w:rFonts w:hint="eastAsia" w:ascii="仿宋_GB2312"/>
          <w:sz w:val="32"/>
          <w:szCs w:val="32"/>
          <w:highlight w:val="none"/>
          <w:lang w:eastAsia="zh-CN"/>
        </w:rPr>
        <w:t>：</w:t>
      </w:r>
      <w:r>
        <w:rPr>
          <w:rFonts w:hint="eastAsia" w:ascii="仿宋_GB2312"/>
          <w:sz w:val="32"/>
          <w:szCs w:val="32"/>
          <w:highlight w:val="none"/>
          <w:lang w:val="en-US" w:eastAsia="zh-CN"/>
        </w:rPr>
        <w:t>指各部门举办的学前教育支出。政府各部门对社会组织等举办的幼儿园的资助，如捐赠、补贴等，也在本科目反映。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sz w:val="32"/>
          <w:szCs w:val="32"/>
          <w:highlight w:val="none"/>
          <w:lang w:val="en-US" w:eastAsia="zh-CN"/>
        </w:rPr>
        <w:t>6.小学教育：指各部门举办的小学教育支出。政府各部门对社会组织等举办的小学的资助，如捐赠、补贴等，也在本科目反映。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sz w:val="32"/>
          <w:szCs w:val="32"/>
          <w:highlight w:val="none"/>
          <w:lang w:val="en-US" w:eastAsia="zh-CN"/>
        </w:rPr>
        <w:t>7.初中教育：指各部门举办的初中教育支出。政府各部门对社会组织等举办的初中的资助，如捐赠、补贴等，也在本科目反映。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sz w:val="32"/>
          <w:szCs w:val="32"/>
          <w:highlight w:val="none"/>
          <w:lang w:val="en-US" w:eastAsia="zh-CN"/>
        </w:rPr>
        <w:t>8.高中教育：指各部门举办的普通高中教育支出。政府各部门对社会组织等举办的普通高中的资助，如捐赠、补贴等，也在本科目反映。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sz w:val="32"/>
          <w:szCs w:val="32"/>
          <w:highlight w:val="none"/>
          <w:lang w:val="en-US" w:eastAsia="zh-CN"/>
        </w:rPr>
        <w:t>9.高等教育：指各部门举办的普通本科（包括研究生）教育支出。政府各部门对社会组织等举办的普通本科高等院校（包括研究生）的资助，如捐赠、补贴等，也在本科目反映。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sz w:val="32"/>
          <w:szCs w:val="32"/>
          <w:highlight w:val="none"/>
          <w:lang w:val="en-US" w:eastAsia="zh-CN"/>
        </w:rPr>
      </w:pPr>
      <w:r>
        <w:rPr>
          <w:rFonts w:hint="eastAsia" w:ascii="仿宋_GB2312"/>
          <w:sz w:val="32"/>
          <w:szCs w:val="32"/>
          <w:highlight w:val="none"/>
          <w:lang w:val="en-US" w:eastAsia="zh-CN"/>
        </w:rPr>
        <w:t>10.中等职业教育：指各部门举办的学前教育支出。政府各部门对社会组织等举办的幼儿园的资助，如捐赠、补贴等，也在本科目反映。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sz w:val="32"/>
          <w:szCs w:val="32"/>
          <w:highlight w:val="none"/>
          <w:lang w:val="en-US" w:eastAsia="zh-CN"/>
        </w:rPr>
      </w:pPr>
      <w:r>
        <w:rPr>
          <w:rFonts w:hint="eastAsia" w:ascii="仿宋_GB2312"/>
          <w:sz w:val="32"/>
          <w:szCs w:val="32"/>
          <w:highlight w:val="none"/>
          <w:lang w:val="en-US" w:eastAsia="zh-CN"/>
        </w:rPr>
        <w:t>11.特殊学校教育：指各部门举办的学前教育支出。政府各部门对社会组织等举办的幼儿园的资助，如捐赠、补贴等，也在本科目反映。</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sz w:val="32"/>
          <w:szCs w:val="32"/>
          <w:highlight w:val="none"/>
          <w:lang w:val="en-US" w:eastAsia="zh-CN"/>
        </w:rPr>
      </w:pPr>
      <w:r>
        <w:rPr>
          <w:rFonts w:hint="eastAsia" w:ascii="仿宋_GB2312"/>
          <w:sz w:val="32"/>
          <w:szCs w:val="32"/>
          <w:highlight w:val="none"/>
          <w:lang w:val="en-US" w:eastAsia="zh-CN"/>
        </w:rPr>
        <w:t>12.农村中小学校舍建设：指教育费附加安排用于农村中小学校舍新建、改建、修缮和维护的支出。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sz w:val="32"/>
          <w:szCs w:val="32"/>
          <w:highlight w:val="none"/>
          <w:lang w:val="en-US" w:eastAsia="zh-CN"/>
        </w:rPr>
      </w:pPr>
      <w:r>
        <w:rPr>
          <w:rFonts w:hint="eastAsia" w:ascii="仿宋_GB2312"/>
          <w:sz w:val="32"/>
          <w:szCs w:val="32"/>
          <w:highlight w:val="none"/>
          <w:lang w:val="en-US" w:eastAsia="zh-CN"/>
        </w:rPr>
        <w:t>13.农村中小学教学设施：指教育费附加安排用于改善农村中小学教学设施和办学条件的支出。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sz w:val="32"/>
          <w:szCs w:val="32"/>
          <w:highlight w:val="none"/>
          <w:lang w:val="en-US" w:eastAsia="zh-CN"/>
        </w:rPr>
      </w:pPr>
      <w:r>
        <w:rPr>
          <w:rFonts w:hint="eastAsia" w:ascii="仿宋_GB2312"/>
          <w:sz w:val="32"/>
          <w:szCs w:val="32"/>
          <w:highlight w:val="none"/>
          <w:lang w:val="en-US" w:eastAsia="zh-CN"/>
        </w:rPr>
        <w:t>14.中等职业学校教学设施：指教育费附加安排用于中等职业学校教学设施的支出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sz w:val="32"/>
          <w:szCs w:val="32"/>
          <w:highlight w:val="none"/>
          <w:lang w:val="en-US" w:eastAsia="zh-CN"/>
        </w:rPr>
      </w:pPr>
      <w:r>
        <w:rPr>
          <w:rFonts w:hint="eastAsia" w:ascii="仿宋_GB2312"/>
          <w:sz w:val="32"/>
          <w:szCs w:val="32"/>
          <w:highlight w:val="none"/>
          <w:lang w:val="en-US" w:eastAsia="zh-CN"/>
        </w:rPr>
        <w:t>15.其他教育支出：指除上述项目以外其他用于教育方面的支出。</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纳入财政一般公共预算管理的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市直部门</w:t>
      </w:r>
      <w:r>
        <w:rPr>
          <w:rFonts w:hint="eastAsia" w:ascii="仿宋_GB2312" w:eastAsia="仿宋_GB2312"/>
          <w:sz w:val="32"/>
          <w:szCs w:val="32"/>
          <w:highlight w:val="none"/>
        </w:rPr>
        <w:t>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pPr>
        <w:pStyle w:val="1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第六部分  附件</w:t>
      </w:r>
    </w:p>
    <w:p>
      <w:pPr>
        <w:bidi w:val="0"/>
        <w:rPr>
          <w:rFonts w:hint="eastAsia" w:ascii="黑体" w:hAnsi="黑体" w:eastAsia="黑体" w:cs="黑体"/>
          <w:kern w:val="2"/>
          <w:szCs w:val="32"/>
          <w:lang w:val="en-US" w:eastAsia="zh-CN" w:bidi="ar-SA"/>
        </w:rPr>
      </w:pPr>
      <w:r>
        <w:rPr>
          <w:rFonts w:hint="eastAsia" w:ascii="黑体" w:hAnsi="黑体" w:eastAsia="黑体" w:cs="黑体"/>
          <w:kern w:val="2"/>
          <w:szCs w:val="32"/>
          <w:lang w:val="en-US" w:eastAsia="zh-CN" w:bidi="ar-SA"/>
        </w:rPr>
        <w:t xml:space="preserve">    </w:t>
      </w:r>
    </w:p>
    <w:p>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一、2022年度部门名称整体绩效评价报告</w:t>
      </w:r>
    </w:p>
    <w:p>
      <w:pPr>
        <w:pStyle w:val="6"/>
        <w:shd w:val="clear" w:color="auto" w:fill="FFFFFF"/>
        <w:spacing w:line="60" w:lineRule="auto"/>
        <w:contextualSpacing/>
        <w:jc w:val="center"/>
        <w:rPr>
          <w:rStyle w:val="10"/>
          <w:rFonts w:hint="eastAsia" w:ascii="华文仿宋" w:hAnsi="华文仿宋" w:eastAsia="华文仿宋" w:cs="华文仿宋"/>
          <w:sz w:val="40"/>
          <w:szCs w:val="40"/>
          <w:lang w:val="en-US" w:eastAsia="zh-CN"/>
        </w:rPr>
      </w:pPr>
      <w:r>
        <w:rPr>
          <w:rFonts w:hint="eastAsia"/>
          <w:lang w:val="en-US" w:eastAsia="zh-CN"/>
        </w:rPr>
        <w:t xml:space="preserve">   </w:t>
      </w:r>
      <w:r>
        <w:rPr>
          <w:rStyle w:val="10"/>
          <w:rFonts w:hint="eastAsia" w:ascii="华文仿宋" w:hAnsi="华文仿宋" w:eastAsia="华文仿宋" w:cs="华文仿宋"/>
          <w:sz w:val="40"/>
          <w:szCs w:val="40"/>
          <w:lang w:val="en-US" w:eastAsia="zh-CN"/>
        </w:rPr>
        <w:t>通山县慈口乡中心完全小学</w:t>
      </w:r>
    </w:p>
    <w:p>
      <w:pPr>
        <w:pStyle w:val="6"/>
        <w:shd w:val="clear" w:color="auto" w:fill="FFFFFF"/>
        <w:spacing w:line="60" w:lineRule="auto"/>
        <w:contextualSpacing/>
        <w:jc w:val="center"/>
        <w:rPr>
          <w:rFonts w:hint="eastAsia" w:ascii="方正小标宋_GBK" w:hAnsi="微软雅黑" w:eastAsia="方正小标宋_GBK"/>
          <w:sz w:val="48"/>
          <w:szCs w:val="48"/>
        </w:rPr>
      </w:pPr>
      <w:r>
        <w:rPr>
          <w:rStyle w:val="10"/>
          <w:rFonts w:hint="eastAsia" w:ascii="华文仿宋" w:hAnsi="华文仿宋" w:eastAsia="华文仿宋" w:cs="华文仿宋"/>
          <w:sz w:val="40"/>
          <w:szCs w:val="40"/>
        </w:rPr>
        <w:t>部门整体支出绩效评价自评报告</w:t>
      </w:r>
    </w:p>
    <w:p>
      <w:pPr>
        <w:pStyle w:val="6"/>
        <w:shd w:val="clear" w:color="auto" w:fill="FFFFFF"/>
        <w:spacing w:line="60" w:lineRule="auto"/>
        <w:ind w:firstLine="640" w:firstLineChars="200"/>
        <w:contextualSpacing/>
        <w:jc w:val="center"/>
        <w:rPr>
          <w:rFonts w:hint="eastAsia" w:ascii="方正小标宋_GBK" w:hAnsi="黑体" w:eastAsia="方正小标宋_GBK"/>
          <w:sz w:val="32"/>
          <w:szCs w:val="32"/>
        </w:rPr>
      </w:pPr>
    </w:p>
    <w:p>
      <w:pPr>
        <w:pStyle w:val="6"/>
        <w:shd w:val="clear" w:color="auto" w:fill="FFFFFF"/>
        <w:spacing w:line="60" w:lineRule="auto"/>
        <w:ind w:firstLine="640" w:firstLineChars="200"/>
        <w:contextualSpacing/>
        <w:rPr>
          <w:rFonts w:hint="eastAsia" w:ascii="方正小标宋_GBK" w:hAnsi="微软雅黑" w:eastAsia="方正小标宋_GBK"/>
          <w:sz w:val="32"/>
          <w:szCs w:val="32"/>
        </w:rPr>
      </w:pPr>
      <w:r>
        <w:rPr>
          <w:rFonts w:hint="eastAsia" w:ascii="方正小标宋_GBK" w:hAnsi="黑体" w:eastAsia="方正小标宋_GBK"/>
          <w:sz w:val="32"/>
          <w:szCs w:val="32"/>
        </w:rPr>
        <w:t>一、部门概况</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黑体" w:eastAsia="仿宋_GB2312"/>
          <w:sz w:val="32"/>
          <w:szCs w:val="32"/>
        </w:rPr>
        <w:t>（一）基本职能</w:t>
      </w:r>
    </w:p>
    <w:p>
      <w:pPr>
        <w:pStyle w:val="6"/>
        <w:shd w:val="clear" w:color="auto" w:fill="FFFFFF"/>
        <w:spacing w:line="60" w:lineRule="auto"/>
        <w:ind w:firstLine="640" w:firstLineChars="200"/>
        <w:contextualSpacing/>
        <w:rPr>
          <w:rFonts w:hint="eastAsia" w:ascii="仿宋_GB2312" w:hAnsi="仿宋" w:eastAsia="仿宋_GB2312"/>
          <w:sz w:val="32"/>
          <w:szCs w:val="32"/>
        </w:rPr>
      </w:pPr>
      <w:r>
        <w:rPr>
          <w:rStyle w:val="10"/>
          <w:rFonts w:hint="eastAsia" w:ascii="华文仿宋" w:hAnsi="华文仿宋" w:eastAsia="华文仿宋" w:cs="华文仿宋"/>
          <w:b w:val="0"/>
          <w:bCs w:val="0"/>
          <w:sz w:val="32"/>
          <w:szCs w:val="32"/>
          <w:lang w:val="en-US" w:eastAsia="zh-CN"/>
        </w:rPr>
        <w:t>通山县慈口乡中心完全小学</w:t>
      </w:r>
      <w:r>
        <w:rPr>
          <w:rFonts w:hint="eastAsia" w:ascii="仿宋_GB2312" w:hAnsi="仿宋" w:eastAsia="仿宋_GB2312"/>
          <w:sz w:val="32"/>
          <w:szCs w:val="32"/>
        </w:rPr>
        <w:t>是经费独立核算单位。</w:t>
      </w:r>
      <w:r>
        <w:rPr>
          <w:rFonts w:hint="eastAsia" w:ascii="仿宋_GB2312" w:hAnsi="仿宋" w:eastAsia="仿宋_GB2312"/>
          <w:sz w:val="32"/>
          <w:szCs w:val="32"/>
          <w:lang w:val="en-US" w:eastAsia="zh-CN"/>
        </w:rPr>
        <w:t>包含</w:t>
      </w:r>
      <w:r>
        <w:rPr>
          <w:rFonts w:hint="eastAsia" w:ascii="仿宋_GB2312" w:hAnsi="仿宋"/>
          <w:sz w:val="32"/>
          <w:szCs w:val="32"/>
          <w:lang w:val="en-US" w:eastAsia="zh-CN"/>
        </w:rPr>
        <w:t>5</w:t>
      </w:r>
      <w:r>
        <w:rPr>
          <w:rFonts w:hint="eastAsia" w:ascii="仿宋_GB2312" w:hAnsi="仿宋" w:eastAsia="仿宋_GB2312"/>
          <w:sz w:val="32"/>
          <w:szCs w:val="32"/>
        </w:rPr>
        <w:t>所乡镇</w:t>
      </w:r>
      <w:r>
        <w:rPr>
          <w:rFonts w:hint="eastAsia" w:ascii="仿宋_GB2312" w:hAnsi="仿宋"/>
          <w:sz w:val="32"/>
          <w:szCs w:val="32"/>
          <w:lang w:val="en-US" w:eastAsia="zh-CN"/>
        </w:rPr>
        <w:t>小学（含1所教学点）</w:t>
      </w:r>
      <w:r>
        <w:rPr>
          <w:rFonts w:hint="eastAsia" w:ascii="仿宋_GB2312" w:hAnsi="仿宋" w:eastAsia="仿宋_GB2312"/>
          <w:sz w:val="32"/>
          <w:szCs w:val="32"/>
        </w:rPr>
        <w:t>。实施</w:t>
      </w:r>
      <w:r>
        <w:rPr>
          <w:rFonts w:hint="eastAsia" w:ascii="仿宋_GB2312" w:hAnsi="仿宋" w:eastAsia="仿宋_GB2312"/>
          <w:sz w:val="32"/>
          <w:szCs w:val="32"/>
          <w:lang w:val="en-US" w:eastAsia="zh-CN"/>
        </w:rPr>
        <w:t>中学</w:t>
      </w:r>
      <w:r>
        <w:rPr>
          <w:rFonts w:hint="eastAsia" w:ascii="仿宋_GB2312" w:hAnsi="仿宋" w:eastAsia="仿宋_GB2312"/>
          <w:sz w:val="32"/>
          <w:szCs w:val="32"/>
        </w:rPr>
        <w:t>义务教育，</w:t>
      </w:r>
      <w:r>
        <w:rPr>
          <w:rFonts w:hint="eastAsia" w:ascii="仿宋_GB2312" w:hAnsi="仿宋"/>
          <w:sz w:val="32"/>
          <w:szCs w:val="32"/>
          <w:lang w:val="en-US" w:eastAsia="zh-CN"/>
        </w:rPr>
        <w:t>小</w:t>
      </w:r>
      <w:r>
        <w:rPr>
          <w:rFonts w:hint="eastAsia" w:ascii="仿宋_GB2312" w:hAnsi="仿宋" w:eastAsia="仿宋_GB2312"/>
          <w:sz w:val="32"/>
          <w:szCs w:val="32"/>
          <w:lang w:val="en-US" w:eastAsia="zh-CN"/>
        </w:rPr>
        <w:t>学</w:t>
      </w:r>
      <w:r>
        <w:rPr>
          <w:rFonts w:hint="eastAsia" w:ascii="仿宋_GB2312" w:hAnsi="仿宋" w:eastAsia="仿宋_GB2312"/>
          <w:sz w:val="32"/>
          <w:szCs w:val="32"/>
        </w:rPr>
        <w:t>学历教育，是学校的主要工作职能。</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黑体" w:eastAsia="仿宋_GB2312"/>
          <w:sz w:val="32"/>
          <w:szCs w:val="32"/>
        </w:rPr>
        <w:t>（二）人员及机构情况</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仿宋" w:eastAsia="仿宋_GB2312"/>
          <w:sz w:val="32"/>
          <w:szCs w:val="32"/>
        </w:rPr>
        <w:t>202</w:t>
      </w:r>
      <w:r>
        <w:rPr>
          <w:rFonts w:hint="eastAsia" w:ascii="仿宋_GB2312" w:hAnsi="仿宋"/>
          <w:sz w:val="32"/>
          <w:szCs w:val="32"/>
          <w:lang w:val="en-US" w:eastAsia="zh-CN"/>
        </w:rPr>
        <w:t>2</w:t>
      </w:r>
      <w:r>
        <w:rPr>
          <w:rFonts w:hint="eastAsia" w:ascii="仿宋_GB2312" w:hAnsi="仿宋" w:eastAsia="仿宋_GB2312"/>
          <w:sz w:val="32"/>
          <w:szCs w:val="32"/>
        </w:rPr>
        <w:t>年</w:t>
      </w:r>
      <w:r>
        <w:rPr>
          <w:rStyle w:val="10"/>
          <w:rFonts w:hint="eastAsia" w:ascii="华文仿宋" w:hAnsi="华文仿宋" w:eastAsia="华文仿宋" w:cs="华文仿宋"/>
          <w:b w:val="0"/>
          <w:bCs w:val="0"/>
          <w:sz w:val="32"/>
          <w:szCs w:val="32"/>
          <w:lang w:val="en-US" w:eastAsia="zh-CN"/>
        </w:rPr>
        <w:t>通山县慈口乡中心完全小学</w:t>
      </w:r>
      <w:r>
        <w:rPr>
          <w:rFonts w:hint="eastAsia" w:ascii="仿宋_GB2312" w:hAnsi="Times New Roman" w:eastAsia="仿宋_GB2312" w:cs="Times New Roman"/>
          <w:sz w:val="32"/>
          <w:szCs w:val="32"/>
        </w:rPr>
        <w:t>有教职工</w:t>
      </w:r>
      <w:r>
        <w:rPr>
          <w:rFonts w:hint="eastAsia" w:ascii="仿宋_GB2312" w:cs="Times New Roman"/>
          <w:sz w:val="32"/>
          <w:szCs w:val="32"/>
          <w:lang w:val="en-US" w:eastAsia="zh-CN"/>
        </w:rPr>
        <w:t>54</w:t>
      </w:r>
      <w:r>
        <w:rPr>
          <w:rFonts w:hint="eastAsia" w:ascii="仿宋_GB2312" w:hAnsi="Times New Roman" w:eastAsia="仿宋_GB2312" w:cs="Times New Roman"/>
          <w:sz w:val="32"/>
          <w:szCs w:val="32"/>
        </w:rPr>
        <w:t>人，学校设有办公室、德育</w:t>
      </w:r>
      <w:r>
        <w:rPr>
          <w:rFonts w:hint="eastAsia" w:ascii="仿宋_GB2312" w:hAnsi="Times New Roman" w:eastAsia="仿宋_GB2312" w:cs="Times New Roman"/>
          <w:sz w:val="32"/>
          <w:szCs w:val="32"/>
          <w:lang w:eastAsia="zh-CN"/>
        </w:rPr>
        <w:t>室</w:t>
      </w:r>
      <w:r>
        <w:rPr>
          <w:rFonts w:hint="eastAsia" w:ascii="仿宋_GB2312" w:hAnsi="Times New Roman" w:eastAsia="仿宋_GB2312" w:cs="Times New Roman"/>
          <w:sz w:val="32"/>
          <w:szCs w:val="32"/>
        </w:rPr>
        <w:t>、教导</w:t>
      </w:r>
      <w:r>
        <w:rPr>
          <w:rFonts w:hint="eastAsia" w:ascii="仿宋_GB2312" w:hAnsi="Times New Roman" w:eastAsia="仿宋_GB2312" w:cs="Times New Roman"/>
          <w:sz w:val="32"/>
          <w:szCs w:val="32"/>
          <w:lang w:eastAsia="zh-CN"/>
        </w:rPr>
        <w:t>室</w:t>
      </w:r>
      <w:r>
        <w:rPr>
          <w:rFonts w:hint="eastAsia" w:ascii="仿宋_GB2312" w:hAnsi="Times New Roman" w:eastAsia="仿宋_GB2312" w:cs="Times New Roman"/>
          <w:sz w:val="32"/>
          <w:szCs w:val="32"/>
        </w:rPr>
        <w:t>、教科</w:t>
      </w:r>
      <w:r>
        <w:rPr>
          <w:rFonts w:hint="eastAsia" w:ascii="仿宋_GB2312" w:hAnsi="Times New Roman" w:eastAsia="仿宋_GB2312" w:cs="Times New Roman"/>
          <w:sz w:val="32"/>
          <w:szCs w:val="32"/>
          <w:lang w:eastAsia="zh-CN"/>
        </w:rPr>
        <w:t>室</w:t>
      </w:r>
      <w:r>
        <w:rPr>
          <w:rFonts w:hint="eastAsia" w:ascii="仿宋_GB2312" w:hAnsi="Times New Roman" w:eastAsia="仿宋_GB2312" w:cs="Times New Roman"/>
          <w:sz w:val="32"/>
          <w:szCs w:val="32"/>
        </w:rPr>
        <w:t>、总务</w:t>
      </w:r>
      <w:r>
        <w:rPr>
          <w:rFonts w:hint="eastAsia" w:ascii="仿宋_GB2312" w:hAnsi="Times New Roman" w:eastAsia="仿宋_GB2312" w:cs="Times New Roman"/>
          <w:sz w:val="32"/>
          <w:szCs w:val="32"/>
          <w:lang w:eastAsia="zh-CN"/>
        </w:rPr>
        <w:t>室</w:t>
      </w:r>
      <w:r>
        <w:rPr>
          <w:rFonts w:hint="eastAsia" w:ascii="仿宋_GB2312" w:hAnsi="Times New Roman" w:eastAsia="仿宋_GB2312" w:cs="Times New Roman"/>
          <w:sz w:val="32"/>
          <w:szCs w:val="32"/>
        </w:rPr>
        <w:t>、安全办公室、党务办公室。学生人数</w:t>
      </w:r>
      <w:r>
        <w:rPr>
          <w:rFonts w:hint="eastAsia" w:ascii="仿宋_GB2312" w:cs="Times New Roman"/>
          <w:sz w:val="32"/>
          <w:szCs w:val="32"/>
          <w:lang w:val="en-US" w:eastAsia="zh-CN"/>
        </w:rPr>
        <w:t>400</w:t>
      </w:r>
      <w:r>
        <w:rPr>
          <w:rFonts w:hint="eastAsia" w:ascii="仿宋_GB2312" w:hAnsi="Times New Roman" w:eastAsia="仿宋_GB2312" w:cs="Times New Roman"/>
          <w:sz w:val="32"/>
          <w:szCs w:val="32"/>
        </w:rPr>
        <w:t>人</w:t>
      </w:r>
      <w:r>
        <w:rPr>
          <w:rFonts w:hint="eastAsia" w:ascii="仿宋_GB2312" w:cs="Times New Roman"/>
          <w:sz w:val="32"/>
          <w:szCs w:val="32"/>
          <w:lang w:val="en-US" w:eastAsia="zh-CN"/>
        </w:rPr>
        <w:t>左右，</w:t>
      </w:r>
      <w:r>
        <w:rPr>
          <w:rFonts w:hint="eastAsia" w:ascii="仿宋_GB2312" w:hAnsi="Times New Roman" w:eastAsia="仿宋_GB2312" w:cs="Times New Roman"/>
          <w:sz w:val="32"/>
          <w:szCs w:val="32"/>
        </w:rPr>
        <w:t>学校未购置车辆。</w:t>
      </w:r>
    </w:p>
    <w:p>
      <w:pPr>
        <w:pStyle w:val="6"/>
        <w:shd w:val="clear" w:color="auto" w:fill="FFFFFF"/>
        <w:spacing w:line="60" w:lineRule="auto"/>
        <w:ind w:firstLine="640" w:firstLineChars="200"/>
        <w:contextualSpacing/>
        <w:rPr>
          <w:rFonts w:hint="eastAsia" w:ascii="仿宋_GB2312" w:hAnsi="微软雅黑" w:eastAsia="仿宋_GB2312"/>
          <w:sz w:val="48"/>
          <w:szCs w:val="48"/>
        </w:rPr>
      </w:pPr>
      <w:r>
        <w:rPr>
          <w:rFonts w:hint="eastAsia" w:ascii="仿宋_GB2312" w:hAnsi="黑体" w:eastAsia="仿宋_GB2312"/>
          <w:sz w:val="32"/>
          <w:szCs w:val="32"/>
        </w:rPr>
        <w:t>（三）资产情况</w:t>
      </w:r>
    </w:p>
    <w:p>
      <w:pPr>
        <w:bidi w:val="0"/>
        <w:spacing w:line="24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截至 </w:t>
      </w:r>
      <w:r>
        <w:rPr>
          <w:rFonts w:hint="eastAsia" w:ascii="仿宋_GB2312" w:hAnsi="仿宋_GB2312" w:cs="仿宋_GB2312"/>
          <w:szCs w:val="32"/>
          <w:lang w:val="en-US" w:eastAsia="zh-CN"/>
        </w:rPr>
        <w:t>2022</w:t>
      </w:r>
      <w:r>
        <w:rPr>
          <w:rFonts w:hint="eastAsia" w:ascii="仿宋_GB2312" w:hAnsi="仿宋_GB2312" w:eastAsia="仿宋_GB2312" w:cs="仿宋_GB2312"/>
          <w:szCs w:val="32"/>
        </w:rPr>
        <w:t>年 12月31日，截至2022年 12月31日，固定资产原值为</w:t>
      </w:r>
      <w:r>
        <w:rPr>
          <w:rFonts w:hint="eastAsia" w:ascii="仿宋_GB2312" w:hAnsi="仿宋_GB2312" w:cs="仿宋_GB2312"/>
          <w:szCs w:val="32"/>
          <w:lang w:val="en-US" w:eastAsia="zh-CN"/>
        </w:rPr>
        <w:t>4291.26</w:t>
      </w:r>
      <w:r>
        <w:rPr>
          <w:rFonts w:hint="eastAsia" w:ascii="仿宋_GB2312" w:hAnsi="仿宋_GB2312" w:eastAsia="仿宋_GB2312" w:cs="仿宋_GB2312"/>
          <w:szCs w:val="32"/>
        </w:rPr>
        <w:t>万元，其中土地、房屋及构筑物</w:t>
      </w:r>
      <w:r>
        <w:rPr>
          <w:rFonts w:hint="eastAsia" w:ascii="仿宋_GB2312" w:hAnsi="仿宋_GB2312" w:cs="仿宋_GB2312"/>
          <w:szCs w:val="32"/>
          <w:lang w:val="en-US" w:eastAsia="zh-CN"/>
        </w:rPr>
        <w:t>3772.13</w:t>
      </w:r>
      <w:r>
        <w:rPr>
          <w:rFonts w:hint="eastAsia" w:ascii="仿宋_GB2312" w:hAnsi="仿宋_GB2312" w:eastAsia="仿宋_GB2312" w:cs="仿宋_GB2312"/>
          <w:szCs w:val="32"/>
        </w:rPr>
        <w:t>万元，通用设备</w:t>
      </w:r>
      <w:r>
        <w:rPr>
          <w:rFonts w:hint="eastAsia" w:ascii="仿宋_GB2312" w:hAnsi="仿宋_GB2312" w:cs="仿宋_GB2312"/>
          <w:szCs w:val="32"/>
          <w:lang w:val="en-US" w:eastAsia="zh-CN"/>
        </w:rPr>
        <w:t>224.94</w:t>
      </w:r>
      <w:r>
        <w:rPr>
          <w:rFonts w:hint="eastAsia" w:ascii="仿宋_GB2312" w:hAnsi="仿宋_GB2312" w:eastAsia="仿宋_GB2312" w:cs="仿宋_GB2312"/>
          <w:szCs w:val="32"/>
        </w:rPr>
        <w:t>万元，专用设备</w:t>
      </w:r>
      <w:r>
        <w:rPr>
          <w:rFonts w:hint="eastAsia" w:ascii="仿宋_GB2312" w:hAnsi="仿宋_GB2312" w:cs="仿宋_GB2312"/>
          <w:szCs w:val="32"/>
          <w:lang w:val="en-US" w:eastAsia="zh-CN"/>
        </w:rPr>
        <w:t>24.45</w:t>
      </w:r>
      <w:r>
        <w:rPr>
          <w:rFonts w:hint="eastAsia" w:ascii="仿宋_GB2312" w:hAnsi="仿宋_GB2312" w:eastAsia="仿宋_GB2312" w:cs="仿宋_GB2312"/>
          <w:szCs w:val="32"/>
        </w:rPr>
        <w:t>万元，图书档案</w:t>
      </w:r>
      <w:r>
        <w:rPr>
          <w:rFonts w:hint="eastAsia" w:ascii="仿宋_GB2312" w:hAnsi="仿宋_GB2312" w:cs="仿宋_GB2312"/>
          <w:szCs w:val="32"/>
          <w:lang w:val="en-US" w:eastAsia="zh-CN"/>
        </w:rPr>
        <w:t>11.27</w:t>
      </w:r>
      <w:r>
        <w:rPr>
          <w:rFonts w:hint="eastAsia" w:ascii="仿宋_GB2312" w:hAnsi="仿宋_GB2312" w:eastAsia="仿宋_GB2312" w:cs="仿宋_GB2312"/>
          <w:szCs w:val="32"/>
        </w:rPr>
        <w:t>万元，家具、用具及装具</w:t>
      </w:r>
      <w:r>
        <w:rPr>
          <w:rFonts w:hint="eastAsia" w:ascii="仿宋_GB2312" w:hAnsi="仿宋_GB2312" w:cs="仿宋_GB2312"/>
          <w:szCs w:val="32"/>
          <w:lang w:val="en-US" w:eastAsia="zh-CN"/>
        </w:rPr>
        <w:t>18.09</w:t>
      </w:r>
      <w:r>
        <w:rPr>
          <w:rFonts w:hint="eastAsia" w:ascii="仿宋_GB2312" w:hAnsi="仿宋_GB2312" w:eastAsia="仿宋_GB2312" w:cs="仿宋_GB2312"/>
          <w:szCs w:val="32"/>
        </w:rPr>
        <w:t>万元，2022年折旧后资产净值为</w:t>
      </w:r>
      <w:r>
        <w:rPr>
          <w:rFonts w:hint="eastAsia" w:ascii="仿宋_GB2312" w:hAnsi="仿宋_GB2312" w:cs="仿宋_GB2312"/>
          <w:szCs w:val="32"/>
          <w:lang w:val="en-US" w:eastAsia="zh-CN"/>
        </w:rPr>
        <w:t>2105.53</w:t>
      </w:r>
      <w:r>
        <w:rPr>
          <w:rFonts w:hint="eastAsia" w:ascii="仿宋_GB2312" w:hAnsi="仿宋_GB2312" w:eastAsia="仿宋_GB2312" w:cs="仿宋_GB2312"/>
          <w:szCs w:val="32"/>
        </w:rPr>
        <w:t>万元。</w:t>
      </w:r>
      <w:r>
        <w:rPr>
          <w:rFonts w:hint="eastAsia" w:ascii="仿宋_GB2312" w:hAnsi="仿宋_GB2312" w:cs="仿宋_GB2312"/>
          <w:szCs w:val="32"/>
          <w:lang w:val="en-US" w:eastAsia="zh-CN"/>
        </w:rPr>
        <w:t>本单位</w:t>
      </w:r>
      <w:r>
        <w:rPr>
          <w:rFonts w:hint="eastAsia" w:ascii="仿宋_GB2312" w:hAnsi="仿宋_GB2312" w:eastAsia="仿宋_GB2312" w:cs="仿宋_GB2312"/>
          <w:szCs w:val="32"/>
          <w:lang w:eastAsia="zh-CN"/>
        </w:rPr>
        <w:t>没有</w:t>
      </w:r>
      <w:r>
        <w:rPr>
          <w:rFonts w:hint="eastAsia" w:ascii="仿宋_GB2312" w:hAnsi="仿宋_GB2312" w:eastAsia="仿宋_GB2312" w:cs="仿宋_GB2312"/>
          <w:szCs w:val="32"/>
        </w:rPr>
        <w:t>单价</w:t>
      </w:r>
      <w:r>
        <w:rPr>
          <w:rFonts w:hint="eastAsia" w:ascii="仿宋_GB2312" w:hAnsi="仿宋_GB2312" w:eastAsia="仿宋_GB2312" w:cs="仿宋_GB2312"/>
          <w:szCs w:val="32"/>
          <w:lang w:val="en-US" w:eastAsia="zh-CN"/>
        </w:rPr>
        <w:t>50</w:t>
      </w:r>
      <w:r>
        <w:rPr>
          <w:rFonts w:hint="eastAsia" w:ascii="仿宋_GB2312" w:hAnsi="仿宋_GB2312" w:eastAsia="仿宋_GB2312" w:cs="仿宋_GB2312"/>
          <w:szCs w:val="32"/>
        </w:rPr>
        <w:t>万元以上通用设备</w:t>
      </w:r>
      <w:r>
        <w:rPr>
          <w:rFonts w:hint="eastAsia" w:ascii="仿宋_GB2312" w:hAnsi="仿宋_GB2312" w:eastAsia="仿宋_GB2312" w:cs="仿宋_GB2312"/>
          <w:szCs w:val="32"/>
          <w:lang w:eastAsia="zh-CN"/>
        </w:rPr>
        <w:t>和</w:t>
      </w:r>
      <w:r>
        <w:rPr>
          <w:rFonts w:hint="eastAsia" w:ascii="仿宋_GB2312" w:hAnsi="仿宋_GB2312" w:eastAsia="仿宋_GB2312" w:cs="仿宋_GB2312"/>
          <w:szCs w:val="32"/>
        </w:rPr>
        <w:t>单价</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万元以上专用设备。</w:t>
      </w:r>
    </w:p>
    <w:p>
      <w:pPr>
        <w:bidi w:val="0"/>
        <w:spacing w:line="240" w:lineRule="auto"/>
        <w:ind w:firstLine="640" w:firstLineChars="200"/>
        <w:rPr>
          <w:rFonts w:hint="eastAsia" w:ascii="方正小标宋_GBK" w:hAnsi="微软雅黑" w:eastAsia="方正小标宋_GBK"/>
          <w:sz w:val="32"/>
          <w:szCs w:val="32"/>
        </w:rPr>
      </w:pPr>
      <w:r>
        <w:rPr>
          <w:rFonts w:hint="eastAsia" w:ascii="方正小标宋_GBK" w:hAnsi="黑体" w:eastAsia="方正小标宋_GBK"/>
          <w:sz w:val="32"/>
          <w:szCs w:val="32"/>
        </w:rPr>
        <w:t>二、部门资金基本情况</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sz w:val="32"/>
          <w:szCs w:val="32"/>
        </w:rPr>
        <w:t>（</w:t>
      </w:r>
      <w:r>
        <w:rPr>
          <w:rFonts w:hint="eastAsia" w:ascii="仿宋_GB2312" w:hAnsi="仿宋_GB2312" w:eastAsia="仿宋_GB2312" w:cs="仿宋_GB2312"/>
          <w:kern w:val="2"/>
          <w:sz w:val="32"/>
          <w:szCs w:val="32"/>
          <w:lang w:val="en-US" w:eastAsia="zh-CN" w:bidi="ar-SA"/>
        </w:rPr>
        <w:t>一）年度部门预算收入情况。</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2022年预算收入总额为801.92万元，其中：教育支出671.77万元，社会保障和就业支出56.28万元，卫生健康支出31.66万元，住房保障支出42.21万元。</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（二）年度部门支出决算情况。</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w:t>
      </w:r>
      <w:r>
        <w:rPr>
          <w:rFonts w:hint="eastAsia" w:ascii="仿宋_GB2312" w:hAnsi="仿宋_GB2312" w:cs="仿宋_GB2312"/>
          <w:kern w:val="2"/>
          <w:sz w:val="32"/>
          <w:szCs w:val="32"/>
          <w:lang w:val="en-US" w:eastAsia="zh-CN" w:bidi="ar-SA"/>
        </w:rPr>
        <w:t>预算</w:t>
      </w:r>
      <w:r>
        <w:rPr>
          <w:rFonts w:hint="eastAsia" w:ascii="仿宋_GB2312" w:hAnsi="仿宋_GB2312" w:eastAsia="仿宋_GB2312" w:cs="仿宋_GB2312"/>
          <w:kern w:val="2"/>
          <w:sz w:val="32"/>
          <w:szCs w:val="32"/>
          <w:lang w:val="en-US" w:eastAsia="zh-CN" w:bidi="ar-SA"/>
        </w:rPr>
        <w:t>支出总额为801.92万元，其中：教育支出671.77万元，社会保障和就业支出56.28万元，卫生健康支出31.66万元，住房保障支出42.21万元。</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（三）其他资金收支及结余情况</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2022年通山县慈口乡中心完全小学无其他</w:t>
      </w:r>
      <w:r>
        <w:rPr>
          <w:rFonts w:hint="eastAsia" w:ascii="仿宋_GB2312" w:hAnsi="仿宋_GB2312" w:cs="仿宋_GB2312"/>
          <w:kern w:val="2"/>
          <w:sz w:val="32"/>
          <w:szCs w:val="32"/>
          <w:lang w:val="en-US" w:eastAsia="zh-CN" w:bidi="ar-SA"/>
        </w:rPr>
        <w:t>收支情况</w:t>
      </w:r>
      <w:r>
        <w:rPr>
          <w:rFonts w:hint="eastAsia" w:ascii="仿宋_GB2312" w:hAnsi="仿宋_GB2312" w:eastAsia="仿宋_GB2312" w:cs="仿宋_GB2312"/>
          <w:kern w:val="2"/>
          <w:sz w:val="32"/>
          <w:szCs w:val="32"/>
          <w:lang w:val="en-US" w:eastAsia="zh-CN" w:bidi="ar-SA"/>
        </w:rPr>
        <w:t>。</w:t>
      </w:r>
    </w:p>
    <w:p>
      <w:pPr>
        <w:pStyle w:val="6"/>
        <w:numPr>
          <w:ilvl w:val="0"/>
          <w:numId w:val="1"/>
        </w:numPr>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其他需要说明的情况</w:t>
      </w:r>
    </w:p>
    <w:p>
      <w:pPr>
        <w:pStyle w:val="6"/>
        <w:shd w:val="clear" w:color="auto" w:fill="FFFFFF"/>
        <w:spacing w:line="240" w:lineRule="auto"/>
        <w:ind w:firstLine="640" w:firstLineChars="200"/>
        <w:contextualSpacing/>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pStyle w:val="6"/>
        <w:shd w:val="clear" w:color="auto" w:fill="FFFFFF"/>
        <w:spacing w:line="60" w:lineRule="auto"/>
        <w:ind w:firstLine="640" w:firstLineChars="200"/>
        <w:contextualSpacing/>
        <w:rPr>
          <w:rFonts w:hint="eastAsia" w:ascii="方正小标宋_GBK" w:hAnsi="微软雅黑" w:eastAsia="方正小标宋_GBK"/>
          <w:sz w:val="32"/>
          <w:szCs w:val="32"/>
        </w:rPr>
      </w:pPr>
      <w:r>
        <w:rPr>
          <w:rFonts w:hint="eastAsia" w:ascii="方正小标宋_GBK" w:hAnsi="黑体" w:eastAsia="方正小标宋_GBK"/>
          <w:sz w:val="32"/>
          <w:szCs w:val="32"/>
        </w:rPr>
        <w:t>三、部门财政支出管理情况</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Times New Roman" w:eastAsia="仿宋_GB2312" w:cs="Times New Roman"/>
          <w:sz w:val="32"/>
          <w:szCs w:val="32"/>
        </w:rPr>
        <w:t>（一）预算编制情况。</w:t>
      </w:r>
    </w:p>
    <w:p>
      <w:pPr>
        <w:pStyle w:val="6"/>
        <w:shd w:val="clear" w:color="auto" w:fill="FFFFFF"/>
        <w:spacing w:line="60" w:lineRule="auto"/>
        <w:ind w:firstLine="640" w:firstLineChars="200"/>
        <w:contextualSpacing/>
        <w:rPr>
          <w:rFonts w:hint="eastAsia" w:ascii="仿宋_GB2312" w:hAnsi="微软雅黑" w:eastAsia="仿宋_GB2312"/>
          <w:sz w:val="32"/>
          <w:szCs w:val="32"/>
          <w:lang w:eastAsia="zh-CN"/>
        </w:rPr>
      </w:pPr>
      <w:r>
        <w:rPr>
          <w:rFonts w:hint="eastAsia" w:ascii="仿宋_GB2312" w:hAnsi="仿宋" w:eastAsia="仿宋_GB2312" w:cs="Times New Roman"/>
          <w:sz w:val="32"/>
          <w:szCs w:val="32"/>
        </w:rPr>
        <w:t>202</w:t>
      </w:r>
      <w:r>
        <w:rPr>
          <w:rFonts w:hint="eastAsia" w:ascii="仿宋_GB2312" w:hAnsi="仿宋" w:cs="Times New Roman"/>
          <w:sz w:val="32"/>
          <w:szCs w:val="32"/>
          <w:lang w:val="en-US" w:eastAsia="zh-CN"/>
        </w:rPr>
        <w:t>2</w:t>
      </w:r>
      <w:r>
        <w:rPr>
          <w:rFonts w:hint="eastAsia" w:ascii="仿宋_GB2312" w:hAnsi="仿宋" w:eastAsia="仿宋_GB2312" w:cs="Times New Roman"/>
          <w:sz w:val="32"/>
          <w:szCs w:val="32"/>
        </w:rPr>
        <w:t>年预算收入总额为</w:t>
      </w:r>
      <w:r>
        <w:rPr>
          <w:rFonts w:hint="eastAsia" w:ascii="仿宋_GB2312" w:cs="Times New Roman"/>
          <w:sz w:val="32"/>
          <w:szCs w:val="32"/>
          <w:lang w:val="en-US" w:eastAsia="zh-CN"/>
        </w:rPr>
        <w:t>801.92</w:t>
      </w:r>
      <w:r>
        <w:rPr>
          <w:rFonts w:hint="eastAsia" w:ascii="仿宋_GB2312" w:hAnsi="仿宋" w:eastAsia="仿宋_GB2312" w:cs="Times New Roman"/>
          <w:sz w:val="32"/>
          <w:szCs w:val="32"/>
        </w:rPr>
        <w:t>万元，</w:t>
      </w:r>
      <w:r>
        <w:rPr>
          <w:rFonts w:hint="eastAsia" w:ascii="仿宋_GB2312" w:hAnsi="Times New Roman" w:eastAsia="仿宋_GB2312" w:cs="Times New Roman"/>
          <w:sz w:val="32"/>
          <w:szCs w:val="32"/>
        </w:rPr>
        <w:t>其中：人员经费为</w:t>
      </w:r>
      <w:r>
        <w:rPr>
          <w:rFonts w:hint="eastAsia" w:ascii="仿宋_GB2312" w:cs="Times New Roman"/>
          <w:sz w:val="32"/>
          <w:szCs w:val="32"/>
          <w:lang w:val="en-US" w:eastAsia="zh-CN"/>
        </w:rPr>
        <w:t>755.42</w:t>
      </w:r>
      <w:r>
        <w:rPr>
          <w:rFonts w:hint="eastAsia" w:ascii="仿宋_GB2312" w:hAnsi="Times New Roman" w:eastAsia="仿宋_GB2312" w:cs="Times New Roman"/>
          <w:sz w:val="32"/>
          <w:szCs w:val="32"/>
        </w:rPr>
        <w:t>万元，日常公用经费为</w:t>
      </w:r>
      <w:r>
        <w:rPr>
          <w:rFonts w:hint="eastAsia" w:ascii="仿宋_GB2312" w:cs="Times New Roman"/>
          <w:sz w:val="32"/>
          <w:szCs w:val="32"/>
          <w:lang w:val="en-US" w:eastAsia="zh-CN"/>
        </w:rPr>
        <w:t>46.5</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Times New Roman" w:eastAsia="仿宋_GB2312" w:cs="Times New Roman"/>
          <w:sz w:val="32"/>
          <w:szCs w:val="32"/>
        </w:rPr>
        <w:t>（二）执行管理情况。</w:t>
      </w:r>
    </w:p>
    <w:p>
      <w:pPr>
        <w:pStyle w:val="6"/>
        <w:shd w:val="clear" w:color="auto" w:fill="FFFFFF"/>
        <w:spacing w:line="60" w:lineRule="auto"/>
        <w:ind w:firstLine="640" w:firstLineChars="200"/>
        <w:contextualSpacing/>
        <w:rPr>
          <w:rFonts w:hint="eastAsia" w:ascii="仿宋_GB2312" w:hAnsi="Times New Roman" w:eastAsia="仿宋_GB2312" w:cs="Times New Roman"/>
          <w:sz w:val="32"/>
          <w:szCs w:val="32"/>
        </w:rPr>
      </w:pPr>
      <w:r>
        <w:rPr>
          <w:rFonts w:hint="eastAsia" w:ascii="仿宋_GB2312" w:cs="Times New Roman"/>
          <w:sz w:val="32"/>
          <w:szCs w:val="32"/>
          <w:lang w:val="en-US" w:eastAsia="zh-CN"/>
        </w:rPr>
        <w:t>通山县慈口乡中心完全小学</w:t>
      </w:r>
      <w:r>
        <w:rPr>
          <w:rFonts w:hint="eastAsia" w:ascii="仿宋_GB2312" w:hAnsi="Times New Roman" w:eastAsia="仿宋_GB2312" w:cs="Times New Roman"/>
          <w:sz w:val="32"/>
          <w:szCs w:val="32"/>
        </w:rPr>
        <w:t>严格按照预算执行。在收到财政下达的各类款项后，按照资金的用途使用，支出总额控制在预算总额以内，按照预算执行进度，及时支付。</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Times New Roman" w:eastAsia="仿宋_GB2312" w:cs="Times New Roman"/>
          <w:sz w:val="32"/>
          <w:szCs w:val="32"/>
        </w:rPr>
        <w:t>（三）决算</w:t>
      </w:r>
      <w:r>
        <w:rPr>
          <w:rFonts w:hint="eastAsia" w:ascii="仿宋_GB2312" w:cs="Times New Roman"/>
          <w:sz w:val="32"/>
          <w:szCs w:val="32"/>
          <w:lang w:val="en-US" w:eastAsia="zh-CN"/>
        </w:rPr>
        <w:t>支出</w:t>
      </w:r>
      <w:r>
        <w:rPr>
          <w:rFonts w:hint="eastAsia" w:ascii="仿宋_GB2312" w:hAnsi="Times New Roman" w:eastAsia="仿宋_GB2312" w:cs="Times New Roman"/>
          <w:sz w:val="32"/>
          <w:szCs w:val="32"/>
        </w:rPr>
        <w:t>情况。</w:t>
      </w:r>
    </w:p>
    <w:p>
      <w:pPr>
        <w:pStyle w:val="6"/>
        <w:shd w:val="clear" w:color="auto" w:fill="FFFFFF"/>
        <w:spacing w:line="60" w:lineRule="auto"/>
        <w:ind w:firstLine="640" w:firstLineChars="20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cs="Times New Roman"/>
          <w:sz w:val="32"/>
          <w:szCs w:val="32"/>
          <w:lang w:val="en-US" w:eastAsia="zh-CN"/>
        </w:rPr>
        <w:t>2</w:t>
      </w:r>
      <w:r>
        <w:rPr>
          <w:rFonts w:hint="eastAsia" w:ascii="仿宋_GB2312" w:hAnsi="Times New Roman" w:eastAsia="仿宋_GB2312" w:cs="Times New Roman"/>
          <w:sz w:val="32"/>
          <w:szCs w:val="32"/>
        </w:rPr>
        <w:t>年决算支出</w:t>
      </w:r>
      <w:r>
        <w:rPr>
          <w:rFonts w:hint="eastAsia" w:ascii="仿宋_GB2312" w:hAnsi="仿宋" w:eastAsia="仿宋_GB2312" w:cs="Times New Roman"/>
          <w:sz w:val="32"/>
          <w:szCs w:val="32"/>
        </w:rPr>
        <w:t>总额为</w:t>
      </w:r>
      <w:r>
        <w:rPr>
          <w:rFonts w:hint="eastAsia" w:ascii="仿宋_GB2312" w:cs="Times New Roman"/>
          <w:sz w:val="32"/>
          <w:szCs w:val="32"/>
          <w:lang w:val="en-US" w:eastAsia="zh-CN"/>
        </w:rPr>
        <w:t>891.16</w:t>
      </w:r>
      <w:r>
        <w:rPr>
          <w:rFonts w:hint="eastAsia" w:ascii="仿宋_GB2312" w:hAnsi="仿宋" w:eastAsia="仿宋_GB2312" w:cs="Times New Roman"/>
          <w:sz w:val="32"/>
          <w:szCs w:val="32"/>
        </w:rPr>
        <w:t>万元，</w:t>
      </w:r>
      <w:r>
        <w:rPr>
          <w:rFonts w:hint="eastAsia" w:ascii="仿宋_GB2312" w:hAnsi="Times New Roman" w:eastAsia="仿宋_GB2312" w:cs="Times New Roman"/>
          <w:sz w:val="32"/>
          <w:szCs w:val="32"/>
        </w:rPr>
        <w:t>其中：教育支出</w:t>
      </w:r>
      <w:r>
        <w:rPr>
          <w:rFonts w:hint="eastAsia" w:ascii="仿宋_GB2312" w:cs="Times New Roman"/>
          <w:sz w:val="32"/>
          <w:szCs w:val="32"/>
          <w:lang w:val="en-US" w:eastAsia="zh-CN"/>
        </w:rPr>
        <w:t>750.35</w:t>
      </w:r>
      <w:r>
        <w:rPr>
          <w:rFonts w:hint="eastAsia" w:ascii="仿宋_GB2312" w:hAnsi="Times New Roman" w:eastAsia="仿宋_GB2312" w:cs="Times New Roman"/>
          <w:sz w:val="32"/>
          <w:szCs w:val="32"/>
        </w:rPr>
        <w:t>万元，社会保障和就业支出</w:t>
      </w:r>
      <w:r>
        <w:rPr>
          <w:rFonts w:hint="eastAsia" w:ascii="仿宋_GB2312" w:cs="Times New Roman"/>
          <w:sz w:val="32"/>
          <w:szCs w:val="32"/>
          <w:lang w:val="en-US" w:eastAsia="zh-CN"/>
        </w:rPr>
        <w:t>66.83</w:t>
      </w:r>
      <w:r>
        <w:rPr>
          <w:rFonts w:hint="eastAsia" w:ascii="仿宋_GB2312" w:hAnsi="Times New Roman" w:eastAsia="仿宋_GB2312" w:cs="Times New Roman"/>
          <w:sz w:val="32"/>
          <w:szCs w:val="32"/>
        </w:rPr>
        <w:t>万元，</w:t>
      </w:r>
      <w:r>
        <w:rPr>
          <w:rFonts w:hint="eastAsia" w:ascii="仿宋_GB2312"/>
          <w:bCs/>
          <w:kern w:val="44"/>
          <w:sz w:val="32"/>
          <w:szCs w:val="32"/>
          <w:highlight w:val="none"/>
          <w:lang w:val="en-US" w:eastAsia="zh-CN"/>
        </w:rPr>
        <w:t>卫生健康支出</w:t>
      </w:r>
      <w:r>
        <w:rPr>
          <w:rFonts w:hint="eastAsia" w:ascii="仿宋_GB2312" w:cs="Times New Roman"/>
          <w:sz w:val="32"/>
          <w:szCs w:val="32"/>
          <w:lang w:val="en-US" w:eastAsia="zh-CN"/>
        </w:rPr>
        <w:t>31.93</w:t>
      </w:r>
      <w:r>
        <w:rPr>
          <w:rFonts w:hint="eastAsia" w:ascii="仿宋_GB2312"/>
          <w:bCs/>
          <w:kern w:val="44"/>
          <w:sz w:val="32"/>
          <w:szCs w:val="32"/>
          <w:highlight w:val="none"/>
          <w:lang w:val="en-US" w:eastAsia="zh-CN"/>
        </w:rPr>
        <w:t>万元，</w:t>
      </w:r>
      <w:r>
        <w:rPr>
          <w:rFonts w:hint="eastAsia" w:ascii="仿宋_GB2312" w:hAnsi="Times New Roman" w:eastAsia="仿宋_GB2312" w:cs="Times New Roman"/>
          <w:sz w:val="32"/>
          <w:szCs w:val="32"/>
        </w:rPr>
        <w:t>住房保障支出</w:t>
      </w:r>
      <w:r>
        <w:rPr>
          <w:rFonts w:hint="eastAsia" w:ascii="仿宋_GB2312" w:cs="Times New Roman"/>
          <w:sz w:val="32"/>
          <w:szCs w:val="32"/>
          <w:lang w:val="en-US" w:eastAsia="zh-CN"/>
        </w:rPr>
        <w:t>42.05</w:t>
      </w:r>
      <w:r>
        <w:rPr>
          <w:rFonts w:hint="eastAsia" w:ascii="仿宋_GB2312" w:hAnsi="Times New Roman" w:eastAsia="仿宋_GB2312" w:cs="Times New Roman"/>
          <w:sz w:val="32"/>
          <w:szCs w:val="32"/>
        </w:rPr>
        <w:t>万元。</w:t>
      </w:r>
    </w:p>
    <w:p>
      <w:pPr>
        <w:pStyle w:val="6"/>
        <w:shd w:val="clear" w:color="auto" w:fill="FFFFFF"/>
        <w:spacing w:line="60" w:lineRule="auto"/>
        <w:ind w:firstLine="640" w:firstLineChars="200"/>
        <w:contextualSpacing/>
        <w:rPr>
          <w:rFonts w:hint="eastAsia" w:ascii="仿宋_GB2312" w:hAnsi="微软雅黑" w:eastAsia="仿宋_GB2312"/>
          <w:sz w:val="32"/>
          <w:szCs w:val="32"/>
        </w:rPr>
      </w:pPr>
      <w:r>
        <w:rPr>
          <w:rFonts w:hint="eastAsia" w:ascii="仿宋_GB2312" w:hAnsi="Times New Roman" w:eastAsia="仿宋_GB2312" w:cs="Times New Roman"/>
          <w:sz w:val="32"/>
          <w:szCs w:val="32"/>
        </w:rPr>
        <w:t>（四）支出绩效情况。</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cs="Times New Roman"/>
          <w:sz w:val="32"/>
          <w:szCs w:val="32"/>
          <w:lang w:val="en-US" w:eastAsia="zh-CN"/>
        </w:rPr>
        <w:t>本</w:t>
      </w:r>
      <w:r>
        <w:rPr>
          <w:rFonts w:hint="eastAsia" w:ascii="仿宋_GB2312" w:hAnsi="Times New Roman" w:eastAsia="仿宋_GB2312" w:cs="Times New Roman"/>
          <w:sz w:val="32"/>
          <w:szCs w:val="32"/>
        </w:rPr>
        <w:t>单位主动履职，强化管理，很好完成了年度工作目标。经过加强预算收支管理，不停建立健全内部管理制度，梳理内部管理步骤，部门整体支出管理水平得到提升。依据部门整体支出绩效评价指标体系，我单位评价得分为95分。部门整体支出绩效情况以下:</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1．预算实施比较到位。支出总额控制在预算总额以内。</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2．预算管理较为理想，制度实施总体较为有效，但仍需深入强化。</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资金使用管理逐步加强。单位支出严格根据国家财经法规和财务管理制度要求实施，正确组织资金筹集、调度和使用，费用开支有标准、有预算，债权债务立即结算、结清。全部支出均经过我单位财政直接支付方法办理，资金使用无截留、挤占、挪用、虚列支出等情况。</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4.部门预算收支严格按年初部门预算方案实施，部门预决算、“三公”经费预决算信息均按要求立即进行了公开。</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学校重点工作</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贯彻“安全第一，预防为主”的方针，切实加强学校安全工作管理，增强师生安全意识，确保了学校零事故。利用国旗下讲话、班队会和国旗下的讲话针对性地对学生进行安全教育。加强了防溺水教育，大课间背诵防溺水六不准深入人心。邀请了厦铺司法所、厦铺派出所开展法制进校园、民警进校园活动。每月开展安全隐患排查，确保安全万无一失。</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2.坚持以育人为中心，开展丰富多彩的德育活动</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学校制定了德育作业表，制作了德育作业宣传栏。举办了全校性的戏曲广播广爆体操比赛，组织全体师生学雷锋扫大街活动。继续开展兴趣活动，建立了劳动教育季度，开展了红歌合唱比赛。</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3.落实双减、五项管理，务实推进教育教学工作</w:t>
      </w:r>
    </w:p>
    <w:p>
      <w:pPr>
        <w:pStyle w:val="6"/>
        <w:shd w:val="clear" w:color="auto" w:fill="FFFFFF"/>
        <w:spacing w:line="60" w:lineRule="auto"/>
        <w:ind w:firstLine="640" w:firstLineChars="20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我校切实学习“双减”与“五项管理”的相关政策，提高认识，认清形势，坚决遏制违规行为坚持以人为本，着眼学生身心健康成长，切实减轻 学生课业负担，提高作业设计能力，整体提升教育教学质量。</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4.是加强后勤管理，着意优质服务，提供后勤有力保障。</w:t>
      </w:r>
    </w:p>
    <w:p>
      <w:pPr>
        <w:pStyle w:val="6"/>
        <w:shd w:val="clear" w:color="auto" w:fill="FFFFFF"/>
        <w:spacing w:line="60" w:lineRule="auto"/>
        <w:ind w:firstLine="720"/>
        <w:contextualSpacing/>
        <w:rPr>
          <w:rFonts w:hint="eastAsia" w:ascii="仿宋_GB2312" w:hAnsi="微软雅黑" w:eastAsia="仿宋_GB2312"/>
          <w:sz w:val="32"/>
          <w:szCs w:val="32"/>
        </w:rPr>
      </w:pPr>
      <w:r>
        <w:rPr>
          <w:rFonts w:hint="eastAsia" w:ascii="仿宋_GB2312" w:hAnsi="Times New Roman" w:eastAsia="仿宋_GB2312" w:cs="Times New Roman"/>
          <w:sz w:val="32"/>
          <w:szCs w:val="32"/>
        </w:rPr>
        <w:t>学校管理，后勤先⾏，因为良好的办学条件是教学的前提和基础，一年来我校不断的为我校校园环境做出努力。</w:t>
      </w:r>
    </w:p>
    <w:p>
      <w:pPr>
        <w:pStyle w:val="6"/>
        <w:shd w:val="clear" w:color="auto" w:fill="FFFFFF"/>
        <w:spacing w:line="60" w:lineRule="auto"/>
        <w:ind w:firstLine="720"/>
        <w:contextualSpacing/>
        <w:rPr>
          <w:rFonts w:hint="eastAsia" w:ascii="方正小标宋_GBK" w:hAnsi="微软雅黑" w:eastAsia="方正小标宋_GBK"/>
          <w:sz w:val="32"/>
          <w:szCs w:val="32"/>
        </w:rPr>
      </w:pPr>
      <w:r>
        <w:rPr>
          <w:rFonts w:hint="eastAsia" w:ascii="方正小标宋_GBK" w:hAnsi="黑体" w:eastAsia="方正小标宋_GBK"/>
          <w:sz w:val="32"/>
          <w:szCs w:val="32"/>
        </w:rPr>
        <w:t>四、评价结论及建议</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评价结论。综上所述，2022年度我校努力做好财政预算收入、支出以及各项目的管理工作，将预算及时公开到相关的信息网络平台，对预算的资金进行全方位的监督和管理，使每一笔资金都能起到最大的使用效益。结合我校实际将支出进行合理化分配，以达到合理高效地运用资金、提升资金的产出效果、节约成本与资源、提高部门的办事效率的目的。在部门预算整体支出绩效方面都按规定严格执行，合理安排支出，使财政资金发挥出最大的效益。</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(二)存在问题及建议。</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1.更加建立健全部门预算绩效管理的法律法规体系;完善预算绩效管理体系与指标评估体系;提升绩效管理从业人员的专业素质和思想水平。</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建议加强政策学习，提高思想认识。提高单位领导及财务人员的财务政策意识，坚持先有预算、后有支付，没有预算就不得支出。年度预算编制后，根据实际情况，定期做好预算执行分析，掌握预算执行进度，及时找出预算实际执行情况与预算目标之间的差距。</w:t>
      </w: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建议教育行政主管部门和财政部门应高度重视学校财务人员的专业技能培训，注重培训学校财务人员的实际操作能力，教育主管部门应定期组织财务培训，提升学校财务人员的财务专业技能，使学校这批财务人员(报账员)，在没有配置专职人员时，虽然没有专业资质，但在实际操作中，确实能够熟练掌握操作技能，较好的完成学校的各项财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9"/>
        <w:gridCol w:w="1118"/>
        <w:gridCol w:w="1505"/>
        <w:gridCol w:w="4634"/>
        <w:gridCol w:w="3161"/>
        <w:gridCol w:w="1964"/>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D0D7E5" w:sz="8" w:space="0"/>
              <w:left w:val="single" w:color="D0D7E5" w:sz="8" w:space="0"/>
              <w:bottom w:val="single" w:color="D0D7E5" w:sz="8" w:space="0"/>
              <w:right w:val="single" w:color="D0D7E5"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3"/>
                <w:szCs w:val="33"/>
                <w:u w:val="none"/>
              </w:rPr>
            </w:pPr>
            <w:r>
              <w:rPr>
                <w:rFonts w:hint="eastAsia" w:ascii="宋体" w:hAnsi="宋体" w:eastAsia="宋体" w:cs="宋体"/>
                <w:b/>
                <w:bCs/>
                <w:i w:val="0"/>
                <w:iCs w:val="0"/>
                <w:color w:val="000000"/>
                <w:kern w:val="0"/>
                <w:sz w:val="33"/>
                <w:szCs w:val="33"/>
                <w:u w:val="none"/>
                <w:lang w:val="en-US" w:eastAsia="zh-CN" w:bidi="ar"/>
              </w:rPr>
              <w:t>2022年湖北省通山县慈口乡中心小学整体支出绩效自评表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tcBorders>
              <w:top w:val="nil"/>
              <w:left w:val="nil"/>
              <w:bottom w:val="nil"/>
              <w:right w:val="nil"/>
            </w:tcBorders>
            <w:noWrap w:val="0"/>
            <w:vAlign w:val="center"/>
          </w:tcPr>
          <w:p>
            <w:pPr>
              <w:rPr>
                <w:rFonts w:hint="eastAsia" w:ascii="宋体" w:hAnsi="宋体" w:eastAsia="宋体" w:cs="宋体"/>
                <w:i w:val="0"/>
                <w:iCs w:val="0"/>
                <w:color w:val="000000"/>
                <w:sz w:val="22"/>
                <w:szCs w:val="22"/>
                <w:u w:val="none"/>
              </w:rPr>
            </w:pPr>
          </w:p>
        </w:tc>
        <w:tc>
          <w:tcPr>
            <w:tcW w:w="378"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50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56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6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64"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3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单位名称</w:t>
            </w:r>
          </w:p>
        </w:tc>
        <w:tc>
          <w:tcPr>
            <w:tcW w:w="207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湖北省通山县慈口乡中心小学</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lang w:val="en-US" w:eastAsia="zh-CN" w:bidi="ar"/>
              </w:rPr>
              <w:t>单位负责人及电话</w:t>
            </w:r>
          </w:p>
        </w:tc>
        <w:tc>
          <w:tcPr>
            <w:tcW w:w="1101"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徐维本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主管部门</w:t>
            </w:r>
          </w:p>
        </w:tc>
        <w:tc>
          <w:tcPr>
            <w:tcW w:w="2075" w:type="pct"/>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lang w:val="en-US" w:eastAsia="zh-CN" w:bidi="ar"/>
              </w:rPr>
              <w:t>实施单位</w:t>
            </w:r>
          </w:p>
        </w:tc>
        <w:tc>
          <w:tcPr>
            <w:tcW w:w="1101"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通山县慈口乡中心小学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3"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资金情况（万元）</w:t>
            </w: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566" w:type="pc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lang w:val="en-US" w:eastAsia="zh-CN" w:bidi="ar"/>
              </w:rPr>
              <w:t>年初预算资金总额：</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lang w:val="en-US" w:eastAsia="zh-CN" w:bidi="ar"/>
              </w:rPr>
              <w:t>实际投入资金额</w:t>
            </w:r>
          </w:p>
        </w:tc>
        <w:tc>
          <w:tcPr>
            <w:tcW w:w="1101" w:type="pct"/>
            <w:gridSpan w:val="2"/>
            <w:tcBorders>
              <w:top w:val="single" w:color="000000" w:sz="8" w:space="0"/>
              <w:left w:val="single" w:color="D0D7E5"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lang w:val="en-US" w:eastAsia="zh-CN" w:bidi="ar"/>
              </w:rPr>
              <w:t>产生差异的原因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509" w:type="pc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lang w:val="en-US" w:eastAsia="zh-CN" w:bidi="ar"/>
              </w:rPr>
              <w:t>合计</w:t>
            </w:r>
          </w:p>
        </w:tc>
        <w:tc>
          <w:tcPr>
            <w:tcW w:w="1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2"/>
                <w:szCs w:val="22"/>
                <w:u w:val="none"/>
                <w:lang w:val="en-US" w:eastAsia="zh-CN"/>
              </w:rPr>
              <w:t>801.92</w:t>
            </w:r>
          </w:p>
        </w:tc>
        <w:tc>
          <w:tcPr>
            <w:tcW w:w="106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891.16</w:t>
            </w:r>
          </w:p>
        </w:tc>
        <w:tc>
          <w:tcPr>
            <w:tcW w:w="1101" w:type="pct"/>
            <w:gridSpan w:val="2"/>
            <w:tcBorders>
              <w:top w:val="single" w:color="000000" w:sz="8" w:space="0"/>
              <w:left w:val="single" w:color="D0D7E5"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0"/>
                <w:szCs w:val="20"/>
                <w:u w:val="none"/>
              </w:rPr>
              <w:t>2022年按时发放本年度年终绩效奖金并补发2021年度年终绩效奖金，同时工资福利标准有所提高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3"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509" w:type="pct"/>
            <w:tcBorders>
              <w:top w:val="single" w:color="000000" w:sz="8" w:space="0"/>
              <w:left w:val="single" w:color="000000" w:sz="8" w:space="0"/>
              <w:bottom w:val="single" w:color="000000" w:sz="8"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lang w:val="en-US" w:eastAsia="zh-CN" w:bidi="ar"/>
              </w:rPr>
              <w:t>其中：财政拨款</w:t>
            </w:r>
          </w:p>
        </w:tc>
        <w:tc>
          <w:tcPr>
            <w:tcW w:w="1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2"/>
                <w:szCs w:val="22"/>
                <w:u w:val="none"/>
                <w:lang w:val="en-US" w:eastAsia="zh-CN"/>
              </w:rPr>
              <w:t>801.92</w:t>
            </w:r>
          </w:p>
        </w:tc>
        <w:tc>
          <w:tcPr>
            <w:tcW w:w="106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881.56</w:t>
            </w:r>
          </w:p>
        </w:tc>
        <w:tc>
          <w:tcPr>
            <w:tcW w:w="1101" w:type="pct"/>
            <w:gridSpan w:val="2"/>
            <w:tcBorders>
              <w:top w:val="single" w:color="000000" w:sz="8" w:space="0"/>
              <w:left w:val="single" w:color="D0D7E5"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0"/>
                <w:szCs w:val="20"/>
                <w:u w:val="none"/>
              </w:rPr>
              <w:t>2022年按时发放本年度年终绩效奖金并补发2021年度年终绩效奖金，同时工资福利标准有所提高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3"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7"/>
                <w:lang w:val="en-US" w:eastAsia="zh-CN" w:bidi="ar"/>
              </w:rPr>
              <w:t>其他资金</w:t>
            </w:r>
          </w:p>
        </w:tc>
        <w:tc>
          <w:tcPr>
            <w:tcW w:w="1566" w:type="pct"/>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c>
          <w:tcPr>
            <w:tcW w:w="1101" w:type="pct"/>
            <w:gridSpan w:val="2"/>
            <w:tcBorders>
              <w:top w:val="single" w:color="000000" w:sz="8" w:space="0"/>
              <w:left w:val="single" w:color="D0D7E5"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总体目标</w:t>
            </w:r>
          </w:p>
        </w:tc>
        <w:tc>
          <w:tcPr>
            <w:tcW w:w="2454"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年度目标</w:t>
            </w:r>
          </w:p>
        </w:tc>
        <w:tc>
          <w:tcPr>
            <w:tcW w:w="2170" w:type="pct"/>
            <w:gridSpan w:val="3"/>
            <w:tcBorders>
              <w:top w:val="single" w:color="000000" w:sz="8" w:space="0"/>
              <w:left w:val="single" w:color="D0D7E5"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年度总体目标完成情况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2454"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9"/>
                <w:lang w:val="en-US" w:eastAsia="zh-CN" w:bidi="ar"/>
              </w:rPr>
              <w:t>一、正确贯彻执行党和国家的教育方针、政策、法规。 二、维护学校的教学秩序，为学生创造良好的学习环境； 三、积极稳妥地推进教育改革，按教育规律办事，不断提高教育质量； 四、根据学校规模，设置学校管理机构，建立健全各项规章制度和岗位责任制；五、坚持教书育人，服务育人，环境育人方针，加强对学生的思想品德教育，使学生的德智体全面发展；六、抓好教师队伍建设，使每个教师都热心于教育事业；七、做好安全防范，保证学生的人身安全。</w:t>
            </w:r>
          </w:p>
        </w:tc>
        <w:tc>
          <w:tcPr>
            <w:tcW w:w="2170"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1、保障慈口乡各小学在职人员的正常办公、生活秩序； 2、坚决执行党和国家的教育方针政策，尤其关注留守儿童的成长和教育；3、管好用好国家的教育资金，改善和优化农村的办学条件；4、把教育教学质量放在首位，提高教师从教的幸福感，办人民满意的教育。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目标1</w:t>
            </w:r>
          </w:p>
        </w:tc>
        <w:tc>
          <w:tcPr>
            <w:tcW w:w="37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一级指标</w:t>
            </w: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二级指标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三级指标</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指标值</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全年实际完成值</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产生差异的原因及改进措施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产出指标</w:t>
            </w:r>
          </w:p>
        </w:tc>
        <w:tc>
          <w:tcPr>
            <w:tcW w:w="509" w:type="pct"/>
            <w:vMerge w:val="restart"/>
            <w:tcBorders>
              <w:top w:val="single" w:color="000000" w:sz="8" w:space="0"/>
              <w:left w:val="single" w:color="000000" w:sz="8" w:space="0"/>
              <w:bottom w:val="single" w:color="D0D7E5"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数量指标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开展德育活动</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≥4次</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15次</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困难教师慰问</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rFonts w:hint="eastAsia"/>
                <w:lang w:val="en-US" w:eastAsia="zh-CN" w:bidi="ar"/>
              </w:rPr>
              <w:t>10</w:t>
            </w:r>
            <w:r>
              <w:rPr>
                <w:rStyle w:val="20"/>
                <w:lang w:val="en-US" w:eastAsia="zh-CN" w:bidi="ar"/>
              </w:rPr>
              <w:t>人</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20人次</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校园美化绿化带换花</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50盆</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60盆</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学校教育教学管理</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15个</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资助贫困学生</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150人</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210人</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开展主题教育活动</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≥6次</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进行课程改革</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由5方面展开</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rFonts w:hint="eastAsia"/>
                <w:lang w:val="en-US" w:eastAsia="zh-CN" w:bidi="ar"/>
              </w:rPr>
              <w:t>8</w:t>
            </w:r>
            <w:r>
              <w:rPr>
                <w:rStyle w:val="21"/>
                <w:lang w:val="en-US" w:eastAsia="zh-CN" w:bidi="ar"/>
              </w:rPr>
              <w:t>次</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进行安全、健康教育讲座</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≥2次</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restart"/>
            <w:tcBorders>
              <w:top w:val="single" w:color="000000" w:sz="8" w:space="0"/>
              <w:left w:val="single" w:color="000000" w:sz="8" w:space="0"/>
              <w:bottom w:val="single" w:color="D0D7E5"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质量指标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德育活动开展率</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课程改革完成率</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≥90%</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讲座入座率</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8" w:space="0"/>
              <w:left w:val="single" w:color="000000" w:sz="8" w:space="0"/>
              <w:bottom w:val="single" w:color="D0D7E5"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时效指标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按约定时间完成</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=100%　</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成本指标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预算801.92万元</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实际支出891.16万元</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增加89.24万元</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效益指标</w:t>
            </w:r>
          </w:p>
        </w:tc>
        <w:tc>
          <w:tcPr>
            <w:tcW w:w="509" w:type="pct"/>
            <w:vMerge w:val="restart"/>
            <w:tcBorders>
              <w:top w:val="single" w:color="000000" w:sz="8" w:space="0"/>
              <w:left w:val="single" w:color="000000" w:sz="8" w:space="0"/>
              <w:bottom w:val="single" w:color="D0D7E5"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社会效益指标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完善工会工作机制，切实保障教职工的民主权利</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逐渐完善</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逐渐完善</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8" w:space="0"/>
              <w:left w:val="single" w:color="000000" w:sz="8" w:space="0"/>
              <w:bottom w:val="single" w:color="D0D7E5"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努力优化教育环境，不断开创学校德育工作新局面</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明显优化</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明显优化</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D0D7E5" w:sz="8" w:space="0"/>
              <w:left w:val="single" w:color="000000" w:sz="8" w:space="0"/>
              <w:bottom w:val="single" w:color="D0D7E5"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可持续影响</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树立良好的学生面貌</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有所帮助</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有所帮助</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restart"/>
            <w:tcBorders>
              <w:top w:val="single" w:color="D0D7E5"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服务对象满意度指标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在职人员</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≥98%</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≥98%</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D0D7E5"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社会群众</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≥98%</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≥98%</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6"/>
                <w:lang w:val="en-US" w:eastAsia="zh-CN" w:bidi="ar"/>
              </w:rPr>
              <w:t>目标2</w:t>
            </w: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产出指标</w:t>
            </w: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数量指标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免除学生的学杂费</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=426人</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=426人</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质量指标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提高农村教育教学质量</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≥95%</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≥95%</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时效指标</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2022年12月底</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效益指标</w:t>
            </w:r>
          </w:p>
        </w:tc>
        <w:tc>
          <w:tcPr>
            <w:tcW w:w="509" w:type="pct"/>
            <w:tcBorders>
              <w:top w:val="single" w:color="000000" w:sz="8" w:space="0"/>
              <w:left w:val="single" w:color="D0D7E5"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社会效益</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使得厦铺镇人口素质有明显提高</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有所改善　</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有所改善　</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8" w:space="0"/>
              <w:left w:val="single" w:color="D0D7E5"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可持续影响</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使得农村学生有良好的学习环境</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有明显帮助　</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有明显帮助　</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服务对象满意度</w:t>
            </w:r>
          </w:p>
        </w:tc>
        <w:tc>
          <w:tcPr>
            <w:tcW w:w="156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提高农村学生入学率</w:t>
            </w:r>
          </w:p>
        </w:tc>
        <w:tc>
          <w:tcPr>
            <w:tcW w:w="10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明显提高　</w:t>
            </w:r>
          </w:p>
        </w:tc>
        <w:tc>
          <w:tcPr>
            <w:tcW w:w="66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lang w:val="en-US" w:eastAsia="zh-CN" w:bidi="ar"/>
              </w:rPr>
              <w:t>　明显提高　</w:t>
            </w:r>
          </w:p>
        </w:tc>
        <w:tc>
          <w:tcPr>
            <w:tcW w:w="436"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000000"/>
                <w:sz w:val="18"/>
                <w:szCs w:val="18"/>
                <w:u w:val="none"/>
              </w:rPr>
            </w:pPr>
          </w:p>
        </w:tc>
      </w:tr>
    </w:tbl>
    <w:p>
      <w:pPr>
        <w:pStyle w:val="6"/>
        <w:shd w:val="clear" w:color="auto" w:fill="FFFFFF"/>
        <w:spacing w:line="60" w:lineRule="auto"/>
        <w:ind w:firstLine="720"/>
        <w:contextualSpacing/>
        <w:rPr>
          <w:rFonts w:hint="eastAsia" w:ascii="仿宋_GB2312" w:hAnsi="Times New Roman" w:eastAsia="仿宋_GB2312" w:cs="Times New Roman"/>
          <w:sz w:val="32"/>
          <w:szCs w:val="32"/>
        </w:rPr>
      </w:pP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p>
    <w:p>
      <w:pPr>
        <w:pStyle w:val="6"/>
        <w:shd w:val="clear" w:color="auto" w:fill="FFFFFF"/>
        <w:spacing w:line="60" w:lineRule="auto"/>
        <w:ind w:firstLine="720"/>
        <w:contextualSpacing/>
        <w:rPr>
          <w:rFonts w:hint="eastAsia" w:ascii="仿宋_GB2312" w:hAnsi="Times New Roman" w:eastAsia="仿宋_GB2312" w:cs="Times New Roman"/>
          <w:sz w:val="32"/>
          <w:szCs w:val="32"/>
        </w:rPr>
      </w:pPr>
      <w:bookmarkStart w:id="0" w:name="_GoBack"/>
      <w:bookmarkEnd w:id="0"/>
    </w:p>
    <w:p>
      <w:pPr>
        <w:pStyle w:val="6"/>
        <w:shd w:val="clear" w:color="auto" w:fill="FFFFFF"/>
        <w:spacing w:line="60" w:lineRule="auto"/>
        <w:ind w:firstLine="720"/>
        <w:contextualSpacing/>
        <w:rPr>
          <w:rFonts w:hint="eastAsia" w:ascii="仿宋_GB2312" w:hAnsi="Times New Roman" w:eastAsia="仿宋_GB2312" w:cs="Times New Roman"/>
          <w:sz w:val="32"/>
          <w:szCs w:val="32"/>
        </w:rPr>
      </w:pPr>
    </w:p>
    <w:p>
      <w:pPr>
        <w:pStyle w:val="6"/>
        <w:shd w:val="clear" w:color="auto" w:fill="FFFFFF"/>
        <w:spacing w:line="60" w:lineRule="auto"/>
        <w:contextualSpacing/>
        <w:rPr>
          <w:rFonts w:hint="eastAsia" w:ascii="仿宋_GB2312" w:hAnsi="Times New Roman" w:eastAsia="仿宋_GB2312" w:cs="Times New Roman"/>
          <w:sz w:val="32"/>
          <w:szCs w:val="32"/>
        </w:rPr>
      </w:pPr>
    </w:p>
    <w:p>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二、2022年度营养餐项目绩效评价报告</w:t>
      </w:r>
    </w:p>
    <w:p>
      <w:pPr>
        <w:keepNext w:val="0"/>
        <w:keepLines w:val="0"/>
        <w:pageBreakBefore w:val="0"/>
        <w:kinsoku/>
        <w:wordWrap/>
        <w:overflowPunct/>
        <w:topLinePunct w:val="0"/>
        <w:autoSpaceDE/>
        <w:autoSpaceDN/>
        <w:bidi w:val="0"/>
        <w:adjustRightInd/>
        <w:snapToGrid w:val="0"/>
        <w:spacing w:line="180" w:lineRule="atLeast"/>
        <w:ind w:left="2874" w:leftChars="448" w:hanging="1440" w:hangingChars="400"/>
        <w:jc w:val="left"/>
        <w:textAlignment w:val="auto"/>
        <w:rPr>
          <w:rFonts w:hint="eastAsia" w:ascii="宋体" w:hAnsi="宋体" w:eastAsia="宋体" w:cs="宋体"/>
          <w:sz w:val="36"/>
          <w:szCs w:val="36"/>
        </w:rPr>
      </w:pPr>
      <w:r>
        <w:rPr>
          <w:rFonts w:hint="eastAsia" w:ascii="宋体" w:hAnsi="宋体" w:eastAsia="宋体" w:cs="宋体"/>
          <w:sz w:val="36"/>
          <w:szCs w:val="36"/>
          <w:lang w:val="en-US" w:eastAsia="zh-CN"/>
        </w:rPr>
        <w:t>通山县慈口乡中心完全小学</w:t>
      </w:r>
      <w:r>
        <w:rPr>
          <w:rFonts w:hint="eastAsia" w:ascii="宋体" w:hAnsi="宋体" w:eastAsia="宋体" w:cs="宋体"/>
          <w:sz w:val="36"/>
          <w:szCs w:val="36"/>
        </w:rPr>
        <w:t>20</w:t>
      </w:r>
      <w:r>
        <w:rPr>
          <w:rFonts w:hint="eastAsia" w:ascii="宋体" w:hAnsi="宋体" w:eastAsia="宋体" w:cs="宋体"/>
          <w:sz w:val="36"/>
          <w:szCs w:val="36"/>
          <w:lang w:val="en-US" w:eastAsia="zh-CN"/>
        </w:rPr>
        <w:t>22</w:t>
      </w:r>
      <w:r>
        <w:rPr>
          <w:rFonts w:hint="eastAsia" w:ascii="宋体" w:hAnsi="宋体" w:eastAsia="宋体" w:cs="宋体"/>
          <w:sz w:val="36"/>
          <w:szCs w:val="36"/>
        </w:rPr>
        <w:t>年度营养餐资金项目绩效自评报告</w:t>
      </w:r>
    </w:p>
    <w:p>
      <w:pPr>
        <w:keepNext w:val="0"/>
        <w:keepLines w:val="0"/>
        <w:pageBreakBefore w:val="0"/>
        <w:kinsoku/>
        <w:wordWrap/>
        <w:overflowPunct/>
        <w:topLinePunct w:val="0"/>
        <w:autoSpaceDE/>
        <w:autoSpaceDN/>
        <w:bidi w:val="0"/>
        <w:adjustRightInd/>
        <w:snapToGrid w:val="0"/>
        <w:spacing w:line="180" w:lineRule="atLeast"/>
        <w:jc w:val="left"/>
        <w:textAlignment w:val="auto"/>
        <w:rPr>
          <w:rFonts w:hint="eastAsia"/>
        </w:rPr>
      </w:pP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一、项目基本情况</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华文仿宋" w:hAnsi="华文仿宋" w:eastAsia="华文仿宋" w:cs="华文仿宋"/>
          <w:i w:val="0"/>
          <w:caps w:val="0"/>
          <w:color w:val="auto"/>
          <w:spacing w:val="0"/>
          <w:sz w:val="32"/>
          <w:szCs w:val="32"/>
          <w:shd w:val="clear" w:color="auto" w:fill="FFFFFF"/>
          <w:lang w:eastAsia="zh-CN"/>
        </w:rPr>
      </w:pPr>
      <w:r>
        <w:rPr>
          <w:rFonts w:hint="eastAsia" w:ascii="华文仿宋" w:hAnsi="华文仿宋" w:eastAsia="华文仿宋" w:cs="华文仿宋"/>
          <w:sz w:val="32"/>
          <w:szCs w:val="32"/>
        </w:rPr>
        <w:t>实施时间20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月至20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年1</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月，全年供应营养餐</w:t>
      </w:r>
      <w:r>
        <w:rPr>
          <w:rFonts w:hint="eastAsia" w:ascii="华文仿宋" w:hAnsi="华文仿宋" w:eastAsia="华文仿宋" w:cs="华文仿宋"/>
          <w:sz w:val="32"/>
          <w:szCs w:val="32"/>
          <w:lang w:val="en-US" w:eastAsia="zh-CN"/>
        </w:rPr>
        <w:t>176</w:t>
      </w:r>
      <w:r>
        <w:rPr>
          <w:rFonts w:hint="eastAsia" w:ascii="华文仿宋" w:hAnsi="华文仿宋" w:eastAsia="华文仿宋" w:cs="华文仿宋"/>
          <w:sz w:val="32"/>
          <w:szCs w:val="32"/>
        </w:rPr>
        <w:t>天。实施范围是农村义务教育阶段学校：</w:t>
      </w:r>
      <w:r>
        <w:rPr>
          <w:rFonts w:hint="eastAsia" w:ascii="华文仿宋" w:hAnsi="华文仿宋" w:eastAsia="华文仿宋" w:cs="华文仿宋"/>
          <w:sz w:val="32"/>
          <w:szCs w:val="32"/>
          <w:lang w:val="en-US" w:eastAsia="zh-CN"/>
        </w:rPr>
        <w:t>通山县慈口中心小学、石印小学、下泉小学、老屋小学、乌岩小学、贺家小学；</w:t>
      </w:r>
      <w:r>
        <w:rPr>
          <w:rFonts w:hint="eastAsia" w:ascii="华文仿宋" w:hAnsi="华文仿宋" w:eastAsia="华文仿宋" w:cs="华文仿宋"/>
          <w:i w:val="0"/>
          <w:caps w:val="0"/>
          <w:color w:val="auto"/>
          <w:spacing w:val="0"/>
          <w:sz w:val="32"/>
          <w:szCs w:val="32"/>
          <w:shd w:val="clear" w:color="auto" w:fill="FFFFFF"/>
        </w:rPr>
        <w:t>上半年对396名学生提供牛奶，62名学生实施了每天4元免费菜品的食堂供餐，下半年对339名学生提供牛奶，55名学生实施了每天4元免费菜品的食堂供餐</w:t>
      </w:r>
      <w:r>
        <w:rPr>
          <w:rFonts w:hint="eastAsia" w:ascii="华文仿宋" w:hAnsi="华文仿宋" w:eastAsia="华文仿宋" w:cs="华文仿宋"/>
          <w:i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（二）项目绩效目标</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1、项目绩效总目标</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进一步改善农村义务教育学生的营养状况，提高农村义务教育学生的健康水平，加快农村教育发展，促进教育公平，实现社会和谐。</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2、项目绩效阶段性目标</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年度年初目标任务，</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所农村小学，学生</w:t>
      </w:r>
      <w:r>
        <w:rPr>
          <w:rFonts w:hint="eastAsia" w:ascii="华文仿宋" w:hAnsi="华文仿宋" w:eastAsia="华文仿宋" w:cs="华文仿宋"/>
          <w:sz w:val="32"/>
          <w:szCs w:val="32"/>
          <w:lang w:val="en-US" w:eastAsia="zh-CN"/>
        </w:rPr>
        <w:t>400多</w:t>
      </w:r>
      <w:r>
        <w:rPr>
          <w:rFonts w:hint="eastAsia" w:ascii="华文仿宋" w:hAnsi="华文仿宋" w:eastAsia="华文仿宋" w:cs="华文仿宋"/>
          <w:sz w:val="32"/>
          <w:szCs w:val="32"/>
        </w:rPr>
        <w:t>人享受周内免费。</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二、项目单位绩效报告情况</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营养餐惠及</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所学校，</w:t>
      </w:r>
      <w:r>
        <w:rPr>
          <w:rFonts w:hint="eastAsia" w:ascii="华文仿宋" w:hAnsi="华文仿宋" w:eastAsia="华文仿宋" w:cs="华文仿宋"/>
          <w:sz w:val="32"/>
          <w:szCs w:val="32"/>
          <w:lang w:val="en-US" w:eastAsia="zh-CN"/>
        </w:rPr>
        <w:t>400多</w:t>
      </w:r>
      <w:r>
        <w:rPr>
          <w:rFonts w:hint="eastAsia" w:ascii="华文仿宋" w:hAnsi="华文仿宋" w:eastAsia="华文仿宋" w:cs="华文仿宋"/>
          <w:sz w:val="32"/>
          <w:szCs w:val="32"/>
        </w:rPr>
        <w:t>人，这一批农村学生营养得到大大改善，身体得到正常发育，学习精力得到保障，学习成绩得到提升。通过营养午餐实施，为农村学生提供免费的课间加餐，为我县农村教育的发展提供有力的保障和条件。</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全面完成营养午餐任务</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1、年初完成营养午餐配送招标，签订了营养午餐配送合同及安全合同；</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2、厂商每周配送2次，所配送食品在保质期内；</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3、学校有专门的营养仓库，每天在大课时分发；</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三、绩效评价工作情况</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（一）绩效评价目的</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农村学校与发展实际设定绩效目标，通过营养午餐项目的执行、管理及资金使用情况，全面分析和综合评价专项资金的分配使用情况，进一步管理和使用好专项资金，切实提高财政资金使用效率和项目管理水平，为以后年度财政资金预算安排提供重要参考依据。</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（二）绩效评价原则、评价指标体系（附表说明）、评价方法</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绩效评价原则。一是科学规范原则。绩效评价注重财政支出的经济性、效率性和有效性，严格执行规定的程序，采用定量与定性分析相结合的方法。二是公正公开原则。坚持客观公正，标准统一、资料可靠，依法公开并接受监督。三是分级分类原则。绩效评估由各级财政部门、相关单位根据评价对象的特点分类组织实施。四是绩效相关原则。绩效评价针对具体支出及其产出绩效进行，评价结果应清晰反映支出与产出绩效之间的紧密对应关系。</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2、评价指标体系（附表说明）。</w:t>
      </w:r>
      <w:r>
        <w:rPr>
          <w:rFonts w:hint="eastAsia" w:ascii="华文仿宋" w:hAnsi="华文仿宋" w:eastAsia="华文仿宋" w:cs="华文仿宋"/>
          <w:sz w:val="32"/>
          <w:szCs w:val="32"/>
          <w:lang w:val="en-US" w:eastAsia="zh-CN"/>
        </w:rPr>
        <w:t>19</w:t>
      </w:r>
      <w:r>
        <w:rPr>
          <w:rFonts w:hint="eastAsia" w:ascii="华文仿宋" w:hAnsi="华文仿宋" w:eastAsia="华文仿宋" w:cs="华文仿宋"/>
          <w:sz w:val="32"/>
          <w:szCs w:val="32"/>
        </w:rPr>
        <w:t>个</w:t>
      </w:r>
      <w:r>
        <w:rPr>
          <w:rFonts w:hint="eastAsia" w:ascii="华文仿宋" w:hAnsi="华文仿宋" w:eastAsia="华文仿宋" w:cs="华文仿宋"/>
          <w:sz w:val="32"/>
          <w:szCs w:val="32"/>
          <w:lang w:val="en-US" w:eastAsia="zh-CN"/>
        </w:rPr>
        <w:t>项目指标</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3、评价方法。目标效益分析法和公众评判法。</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（三）绩效评价工作过程</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1、前期准备</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成立</w:t>
      </w:r>
      <w:r>
        <w:rPr>
          <w:rFonts w:hint="eastAsia" w:ascii="华文仿宋" w:hAnsi="华文仿宋" w:eastAsia="华文仿宋" w:cs="华文仿宋"/>
          <w:sz w:val="32"/>
          <w:szCs w:val="32"/>
          <w:lang w:val="en-US" w:eastAsia="zh-CN"/>
        </w:rPr>
        <w:t>通山县慈口乡小学</w:t>
      </w:r>
      <w:r>
        <w:rPr>
          <w:rFonts w:hint="eastAsia" w:ascii="华文仿宋" w:hAnsi="华文仿宋" w:eastAsia="华文仿宋" w:cs="华文仿宋"/>
          <w:sz w:val="32"/>
          <w:szCs w:val="32"/>
        </w:rPr>
        <w:t>农村义务教育学生营养改善工作领导小组；</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2、组织实施</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依据《</w:t>
      </w:r>
      <w:r>
        <w:rPr>
          <w:rFonts w:hint="eastAsia" w:ascii="华文仿宋" w:hAnsi="华文仿宋" w:eastAsia="华文仿宋" w:cs="华文仿宋"/>
          <w:sz w:val="32"/>
          <w:szCs w:val="32"/>
          <w:lang w:val="en-US" w:eastAsia="zh-CN"/>
        </w:rPr>
        <w:t>通山</w:t>
      </w:r>
      <w:r>
        <w:rPr>
          <w:rFonts w:hint="eastAsia" w:ascii="华文仿宋" w:hAnsi="华文仿宋" w:eastAsia="华文仿宋" w:cs="华文仿宋"/>
          <w:sz w:val="32"/>
          <w:szCs w:val="32"/>
        </w:rPr>
        <w:t>县农村义务教育学生营养改善计划实施方案》组织实施</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3、分析评价</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通过现场了解、查阅相关资料，结合项目实施实际，按照评价指标对项目实施进行现场评价。对项目做出独立、客观、公正、实事求是的绩效评价，出具评价报告。</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四、绩效评价指标分析情况</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（一）项目资金情况分析</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1、项目资金到位情况分析</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项目总投资</w:t>
      </w:r>
      <w:r>
        <w:rPr>
          <w:rFonts w:hint="eastAsia" w:ascii="华文仿宋" w:hAnsi="华文仿宋" w:eastAsia="华文仿宋" w:cs="华文仿宋"/>
          <w:sz w:val="32"/>
          <w:szCs w:val="32"/>
          <w:lang w:val="en-US" w:eastAsia="zh-CN"/>
        </w:rPr>
        <w:t>19.48</w:t>
      </w:r>
      <w:r>
        <w:rPr>
          <w:rFonts w:hint="eastAsia" w:ascii="华文仿宋" w:hAnsi="华文仿宋" w:eastAsia="华文仿宋" w:cs="华文仿宋"/>
          <w:sz w:val="32"/>
          <w:szCs w:val="32"/>
        </w:rPr>
        <w:t>万元，实际到位</w:t>
      </w:r>
      <w:r>
        <w:rPr>
          <w:rFonts w:hint="eastAsia" w:ascii="华文仿宋" w:hAnsi="华文仿宋" w:eastAsia="华文仿宋" w:cs="华文仿宋"/>
          <w:sz w:val="32"/>
          <w:szCs w:val="32"/>
          <w:lang w:val="en-US" w:eastAsia="zh-CN"/>
        </w:rPr>
        <w:t>19.48</w:t>
      </w:r>
      <w:r>
        <w:rPr>
          <w:rFonts w:hint="eastAsia" w:ascii="华文仿宋" w:hAnsi="华文仿宋" w:eastAsia="华文仿宋" w:cs="华文仿宋"/>
          <w:sz w:val="32"/>
          <w:szCs w:val="32"/>
        </w:rPr>
        <w:t>万元。</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2、项目资金使用情况分析</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依据《</w:t>
      </w:r>
      <w:r>
        <w:rPr>
          <w:rFonts w:hint="eastAsia" w:ascii="华文仿宋" w:hAnsi="华文仿宋" w:eastAsia="华文仿宋" w:cs="华文仿宋"/>
          <w:sz w:val="32"/>
          <w:szCs w:val="32"/>
          <w:lang w:val="en-US" w:eastAsia="zh-CN"/>
        </w:rPr>
        <w:t>通山</w:t>
      </w:r>
      <w:r>
        <w:rPr>
          <w:rFonts w:hint="eastAsia" w:ascii="华文仿宋" w:hAnsi="华文仿宋" w:eastAsia="华文仿宋" w:cs="华文仿宋"/>
          <w:sz w:val="32"/>
          <w:szCs w:val="32"/>
        </w:rPr>
        <w:t>县农村义务教育学生营养改善计划实施方案》实施</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3、项目资金管理情况分析</w:t>
      </w:r>
    </w:p>
    <w:p>
      <w:pPr>
        <w:keepNext w:val="0"/>
        <w:keepLines w:val="0"/>
        <w:pageBreakBefore w:val="0"/>
        <w:kinsoku/>
        <w:wordWrap/>
        <w:overflowPunct/>
        <w:topLinePunct w:val="0"/>
        <w:autoSpaceDE/>
        <w:autoSpaceDN/>
        <w:bidi w:val="0"/>
        <w:adjustRightInd/>
        <w:snapToGrid w:val="0"/>
        <w:spacing w:line="360" w:lineRule="auto"/>
        <w:ind w:firstLine="960" w:firstLineChars="3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财政每学期拨付一次项目资金，根据考核验收情况经分管领导、财务负责人、学校负责人审核后一学期结算一次项目资金。实行专款专用，加强对资金使用情况的管理与检查，自觉接受审计部门的监督，杜绝挤占、截留、挪用现金的发生，提升资金使用效益。</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（二）项目实施情况分析</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1、项目组织情况分析</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组织机构健全：成立由单位法定人为组长、</w:t>
      </w:r>
      <w:r>
        <w:rPr>
          <w:rFonts w:hint="eastAsia" w:ascii="华文仿宋" w:hAnsi="华文仿宋" w:eastAsia="华文仿宋" w:cs="华文仿宋"/>
          <w:sz w:val="32"/>
          <w:szCs w:val="32"/>
          <w:lang w:val="en-US" w:eastAsia="zh-CN"/>
        </w:rPr>
        <w:t>主任</w:t>
      </w:r>
      <w:r>
        <w:rPr>
          <w:rFonts w:hint="eastAsia" w:ascii="华文仿宋" w:hAnsi="华文仿宋" w:eastAsia="华文仿宋" w:cs="华文仿宋"/>
          <w:sz w:val="32"/>
          <w:szCs w:val="32"/>
        </w:rPr>
        <w:t>以上干部为副组长、各</w:t>
      </w:r>
      <w:r>
        <w:rPr>
          <w:rFonts w:hint="eastAsia" w:ascii="华文仿宋" w:hAnsi="华文仿宋" w:eastAsia="华文仿宋" w:cs="华文仿宋"/>
          <w:sz w:val="32"/>
          <w:szCs w:val="32"/>
          <w:lang w:val="en-US" w:eastAsia="zh-CN"/>
        </w:rPr>
        <w:t>班子成员</w:t>
      </w:r>
      <w:r>
        <w:rPr>
          <w:rFonts w:hint="eastAsia" w:ascii="华文仿宋" w:hAnsi="华文仿宋" w:eastAsia="华文仿宋" w:cs="华文仿宋"/>
          <w:sz w:val="32"/>
          <w:szCs w:val="32"/>
        </w:rPr>
        <w:t>为成员的学生营养改善工作领导小组</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2、项目管理情况分析</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实行严格的目标管理与考核。明确了营养餐的具体要求和考核管理办法，切实加强了营养餐的考核工作，建立健全了营养餐工作的长效机制。</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（三）项目绩效情况分析</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1、项目经济性分析</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项目成本（预算）使用合理，无超支。</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2、项目的效率性分析</w:t>
      </w:r>
    </w:p>
    <w:p>
      <w:pPr>
        <w:keepNext w:val="0"/>
        <w:keepLines w:val="0"/>
        <w:pageBreakBefore w:val="0"/>
        <w:kinsoku/>
        <w:wordWrap/>
        <w:overflowPunct/>
        <w:topLinePunct w:val="0"/>
        <w:autoSpaceDE/>
        <w:autoSpaceDN/>
        <w:bidi w:val="0"/>
        <w:adjustRightInd/>
        <w:snapToGrid w:val="0"/>
        <w:spacing w:line="360" w:lineRule="auto"/>
        <w:ind w:firstLine="320" w:firstLineChars="1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（1）项目的实施进度</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按规定时间发放，在规定时间配送。</w:t>
      </w:r>
    </w:p>
    <w:p>
      <w:pPr>
        <w:keepNext w:val="0"/>
        <w:keepLines w:val="0"/>
        <w:pageBreakBefore w:val="0"/>
        <w:kinsoku/>
        <w:wordWrap/>
        <w:overflowPunct/>
        <w:topLinePunct w:val="0"/>
        <w:autoSpaceDE/>
        <w:autoSpaceDN/>
        <w:bidi w:val="0"/>
        <w:adjustRightInd/>
        <w:snapToGrid w:val="0"/>
        <w:spacing w:line="360" w:lineRule="auto"/>
        <w:ind w:firstLine="320" w:firstLineChars="1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（2）项目完成质量</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项目质量达到相关行业标准。</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3.项目的效益性分析</w:t>
      </w:r>
    </w:p>
    <w:p>
      <w:pPr>
        <w:keepNext w:val="0"/>
        <w:keepLines w:val="0"/>
        <w:pageBreakBefore w:val="0"/>
        <w:kinsoku/>
        <w:wordWrap/>
        <w:overflowPunct/>
        <w:topLinePunct w:val="0"/>
        <w:autoSpaceDE/>
        <w:autoSpaceDN/>
        <w:bidi w:val="0"/>
        <w:adjustRightInd/>
        <w:snapToGrid w:val="0"/>
        <w:spacing w:line="360" w:lineRule="auto"/>
        <w:ind w:firstLine="320" w:firstLineChars="1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（1）项目预期目标完成程度</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项目实施</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所学校，受惠学生</w:t>
      </w:r>
      <w:r>
        <w:rPr>
          <w:rFonts w:hint="eastAsia" w:ascii="华文仿宋" w:hAnsi="华文仿宋" w:eastAsia="华文仿宋" w:cs="华文仿宋"/>
          <w:sz w:val="32"/>
          <w:szCs w:val="32"/>
          <w:lang w:val="en-US" w:eastAsia="zh-CN"/>
        </w:rPr>
        <w:t>400多</w:t>
      </w:r>
      <w:r>
        <w:rPr>
          <w:rFonts w:hint="eastAsia" w:ascii="华文仿宋" w:hAnsi="华文仿宋" w:eastAsia="华文仿宋" w:cs="华文仿宋"/>
          <w:sz w:val="32"/>
          <w:szCs w:val="32"/>
        </w:rPr>
        <w:t>人，资金投入</w:t>
      </w:r>
      <w:r>
        <w:rPr>
          <w:rFonts w:hint="eastAsia" w:ascii="华文仿宋" w:hAnsi="华文仿宋" w:eastAsia="华文仿宋" w:cs="华文仿宋"/>
          <w:sz w:val="32"/>
          <w:szCs w:val="32"/>
          <w:lang w:val="en-US" w:eastAsia="zh-CN"/>
        </w:rPr>
        <w:t>19.48</w:t>
      </w:r>
      <w:r>
        <w:rPr>
          <w:rFonts w:hint="eastAsia" w:ascii="华文仿宋" w:hAnsi="华文仿宋" w:eastAsia="华文仿宋" w:cs="华文仿宋"/>
          <w:sz w:val="32"/>
          <w:szCs w:val="32"/>
        </w:rPr>
        <w:t>万元，均完成了年初指标目标任务，确保了部分农村学生的营养。</w:t>
      </w:r>
    </w:p>
    <w:p>
      <w:pPr>
        <w:keepNext w:val="0"/>
        <w:keepLines w:val="0"/>
        <w:pageBreakBefore w:val="0"/>
        <w:kinsoku/>
        <w:wordWrap/>
        <w:overflowPunct/>
        <w:topLinePunct w:val="0"/>
        <w:autoSpaceDE/>
        <w:autoSpaceDN/>
        <w:bidi w:val="0"/>
        <w:adjustRightInd/>
        <w:snapToGrid w:val="0"/>
        <w:spacing w:line="360" w:lineRule="auto"/>
        <w:ind w:firstLine="320" w:firstLineChars="1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（2）项目实施对经济和社会的影响</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通过项目的实施，确保学生吃饱吃好，上课有精神。为农村家庭降低生活成本，为农村居民节约生活开支，创造良好的经济效益，深受广大农村居民欢迎，创造了良好的社会经济效益。</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五、综合评价情况及评价结论（附评分表）</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年度营养餐项目，建设目标明确，项目符合申报条件，程序到位，手续齐全，资金使用规范，项目质量达到相关行业标准，达到预期绩效目标要求。</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六、绩效评价结果应用建议</w:t>
      </w:r>
    </w:p>
    <w:p>
      <w:pPr>
        <w:keepNext w:val="0"/>
        <w:keepLines w:val="0"/>
        <w:pageBreakBefore w:val="0"/>
        <w:kinsoku/>
        <w:wordWrap/>
        <w:overflowPunct/>
        <w:topLinePunct w:val="0"/>
        <w:autoSpaceDE/>
        <w:autoSpaceDN/>
        <w:bidi w:val="0"/>
        <w:adjustRightInd/>
        <w:snapToGrid w:val="0"/>
        <w:spacing w:line="360" w:lineRule="auto"/>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根据绩效评价结果，营养餐是件有利于民生的大好事，是一项关心弱势群体、深得民心的好项目，该项工作应当继续深化开展。</w:t>
      </w:r>
    </w:p>
    <w:p>
      <w:pPr>
        <w:pStyle w:val="2"/>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w:t>
      </w:r>
    </w:p>
    <w:p>
      <w:pPr>
        <w:pStyle w:val="2"/>
        <w:rPr>
          <w:rFonts w:hint="eastAsia" w:ascii="华文仿宋" w:hAnsi="华文仿宋" w:eastAsia="华文仿宋" w:cs="华文仿宋"/>
          <w:sz w:val="32"/>
          <w:szCs w:val="32"/>
          <w:lang w:val="en-US" w:eastAsia="zh-CN"/>
        </w:rPr>
      </w:pPr>
    </w:p>
    <w:tbl>
      <w:tblPr>
        <w:tblStyle w:val="7"/>
        <w:tblpPr w:leftFromText="180" w:rightFromText="180" w:vertAnchor="text" w:horzAnchor="page" w:tblpX="1426" w:tblpY="7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969"/>
        <w:gridCol w:w="529"/>
        <w:gridCol w:w="5834"/>
        <w:gridCol w:w="5531"/>
        <w:gridCol w:w="438"/>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30"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通山县慈口乡中心完全小学绩效评价指标评分表</w:t>
            </w:r>
          </w:p>
        </w:tc>
        <w:tc>
          <w:tcPr>
            <w:tcW w:w="222" w:type="dxa"/>
            <w:tcBorders>
              <w:top w:val="nil"/>
              <w:left w:val="nil"/>
              <w:bottom w:val="nil"/>
              <w:right w:val="nil"/>
            </w:tcBorders>
            <w:noWrap/>
            <w:vAlign w:val="center"/>
          </w:tcPr>
          <w:p>
            <w:pPr>
              <w:rPr>
                <w:rFonts w:hint="eastAsia" w:ascii="宋体" w:hAnsi="宋体" w:eastAsia="宋体" w:cs="宋体"/>
                <w:b/>
                <w:bCs/>
                <w:i w:val="0"/>
                <w:iCs w:val="0"/>
                <w:color w:val="000000"/>
                <w:sz w:val="40"/>
                <w:szCs w:val="40"/>
                <w:u w:val="none"/>
              </w:rPr>
            </w:pPr>
          </w:p>
        </w:tc>
        <w:tc>
          <w:tcPr>
            <w:tcW w:w="222" w:type="dxa"/>
            <w:tcBorders>
              <w:top w:val="nil"/>
              <w:left w:val="nil"/>
              <w:bottom w:val="nil"/>
              <w:right w:val="nil"/>
            </w:tcBorders>
            <w:noWrap/>
            <w:vAlign w:val="center"/>
          </w:tcPr>
          <w:p>
            <w:pP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评价标准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目标内容</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目标是否明确、细化、量化</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目标明确（</w:t>
            </w:r>
            <w:r>
              <w:rPr>
                <w:rStyle w:val="15"/>
                <w:rFonts w:eastAsia="宋体"/>
                <w:lang w:val="en-US" w:eastAsia="zh-CN" w:bidi="ar"/>
              </w:rPr>
              <w:t>1</w:t>
            </w:r>
            <w:r>
              <w:rPr>
                <w:rStyle w:val="14"/>
                <w:lang w:val="en-US" w:eastAsia="zh-CN" w:bidi="ar"/>
              </w:rPr>
              <w:t>分），目标细化（</w:t>
            </w:r>
            <w:r>
              <w:rPr>
                <w:rStyle w:val="15"/>
                <w:rFonts w:eastAsia="宋体"/>
                <w:lang w:val="en-US" w:eastAsia="zh-CN" w:bidi="ar"/>
              </w:rPr>
              <w:t>1</w:t>
            </w:r>
            <w:r>
              <w:rPr>
                <w:rStyle w:val="14"/>
                <w:lang w:val="en-US" w:eastAsia="zh-CN" w:bidi="ar"/>
              </w:rPr>
              <w:t>分），目标量化（</w:t>
            </w:r>
            <w:r>
              <w:rPr>
                <w:rStyle w:val="15"/>
                <w:rFonts w:eastAsia="宋体"/>
                <w:lang w:val="en-US" w:eastAsia="zh-CN" w:bidi="ar"/>
              </w:rPr>
              <w:t>2</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决策依据</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项目是否符合经济社会发展规划和部门年度工作计划；是否根据需要制定中长期实施规划。</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项目符合经济社会发展规划和部门年度工作计划（</w:t>
            </w:r>
            <w:r>
              <w:rPr>
                <w:rStyle w:val="15"/>
                <w:rFonts w:eastAsia="宋体"/>
                <w:lang w:val="en-US" w:eastAsia="zh-CN" w:bidi="ar"/>
              </w:rPr>
              <w:t>2</w:t>
            </w:r>
            <w:r>
              <w:rPr>
                <w:rStyle w:val="14"/>
                <w:lang w:val="en-US" w:eastAsia="zh-CN" w:bidi="ar"/>
              </w:rPr>
              <w:t>分），根据需要制定中长期实施规划（</w:t>
            </w:r>
            <w:r>
              <w:rPr>
                <w:rStyle w:val="15"/>
                <w:rFonts w:eastAsia="宋体"/>
                <w:lang w:val="en-US" w:eastAsia="zh-CN" w:bidi="ar"/>
              </w:rPr>
              <w:t>1</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决策程序</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项目是否符合申报条件；申报、批复程序是否符合相关管理办法；项目调整是否履行相应手续。</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项目符合申报条件（</w:t>
            </w:r>
            <w:r>
              <w:rPr>
                <w:rStyle w:val="15"/>
                <w:rFonts w:eastAsia="宋体"/>
                <w:lang w:val="en-US" w:eastAsia="zh-CN" w:bidi="ar"/>
              </w:rPr>
              <w:t>2</w:t>
            </w:r>
            <w:r>
              <w:rPr>
                <w:rStyle w:val="14"/>
                <w:lang w:val="en-US" w:eastAsia="zh-CN" w:bidi="ar"/>
              </w:rPr>
              <w:t>分），申报、批复程序符合相关管理办法（</w:t>
            </w:r>
            <w:r>
              <w:rPr>
                <w:rStyle w:val="15"/>
                <w:rFonts w:eastAsia="宋体"/>
                <w:lang w:val="en-US" w:eastAsia="zh-CN" w:bidi="ar"/>
              </w:rPr>
              <w:t>2</w:t>
            </w:r>
            <w:r>
              <w:rPr>
                <w:rStyle w:val="14"/>
                <w:lang w:val="en-US" w:eastAsia="zh-CN" w:bidi="ar"/>
              </w:rPr>
              <w:t>分），项目实施调整履行相应手续（</w:t>
            </w:r>
            <w:r>
              <w:rPr>
                <w:rStyle w:val="15"/>
                <w:rFonts w:eastAsia="宋体"/>
                <w:lang w:val="en-US" w:eastAsia="zh-CN" w:bidi="ar"/>
              </w:rPr>
              <w:t>1</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分配方法</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是否根据需要制定相关资金管理办法，并在管理办法中明确资金分配办法；资金分配因素是否全面、合理。</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办法健全、规范（</w:t>
            </w:r>
            <w:r>
              <w:rPr>
                <w:rStyle w:val="15"/>
                <w:rFonts w:eastAsia="宋体"/>
                <w:lang w:val="en-US" w:eastAsia="zh-CN" w:bidi="ar"/>
              </w:rPr>
              <w:t>1</w:t>
            </w:r>
            <w:r>
              <w:rPr>
                <w:rStyle w:val="14"/>
                <w:lang w:val="en-US" w:eastAsia="zh-CN" w:bidi="ar"/>
              </w:rPr>
              <w:t>分），因素选择全面、合理（</w:t>
            </w:r>
            <w:r>
              <w:rPr>
                <w:rStyle w:val="15"/>
                <w:rFonts w:eastAsia="宋体"/>
                <w:lang w:val="en-US" w:eastAsia="zh-CN" w:bidi="ar"/>
              </w:rPr>
              <w:t>1</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分配结果</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资金分配是否符合相关管理办法；分配结果是否合理。</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项目符合相关分配办法（</w:t>
            </w:r>
            <w:r>
              <w:rPr>
                <w:rStyle w:val="15"/>
                <w:rFonts w:eastAsia="宋体"/>
                <w:lang w:val="en-US" w:eastAsia="zh-CN" w:bidi="ar"/>
              </w:rPr>
              <w:t>2</w:t>
            </w:r>
            <w:r>
              <w:rPr>
                <w:rStyle w:val="14"/>
                <w:lang w:val="en-US" w:eastAsia="zh-CN" w:bidi="ar"/>
              </w:rPr>
              <w:t>分），资金分配合理（</w:t>
            </w:r>
            <w:r>
              <w:rPr>
                <w:rStyle w:val="15"/>
                <w:rFonts w:eastAsia="宋体"/>
                <w:lang w:val="en-US" w:eastAsia="zh-CN" w:bidi="ar"/>
              </w:rPr>
              <w:t>4</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到位率</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实际到位/计划到位×100%</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根据项目实际到位资金占计划的比重计算得分（</w:t>
            </w:r>
            <w:r>
              <w:rPr>
                <w:rStyle w:val="15"/>
                <w:rFonts w:eastAsia="宋体"/>
                <w:lang w:val="en-US" w:eastAsia="zh-CN" w:bidi="ar"/>
              </w:rPr>
              <w:t>3</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到位时效</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资金是否及时到位；若未及时到位，是否影响项目进度。</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及时到位（</w:t>
            </w:r>
            <w:r>
              <w:rPr>
                <w:rStyle w:val="15"/>
                <w:rFonts w:eastAsia="宋体"/>
                <w:lang w:val="en-US" w:eastAsia="zh-CN" w:bidi="ar"/>
              </w:rPr>
              <w:t>2</w:t>
            </w:r>
            <w:r>
              <w:rPr>
                <w:rStyle w:val="14"/>
                <w:lang w:val="en-US" w:eastAsia="zh-CN" w:bidi="ar"/>
              </w:rPr>
              <w:t>分），未及时到位但未影响项目进度（</w:t>
            </w:r>
            <w:r>
              <w:rPr>
                <w:rStyle w:val="15"/>
                <w:rFonts w:eastAsia="宋体"/>
                <w:lang w:val="en-US" w:eastAsia="zh-CN" w:bidi="ar"/>
              </w:rPr>
              <w:t>1.5</w:t>
            </w:r>
            <w:r>
              <w:rPr>
                <w:rStyle w:val="14"/>
                <w:lang w:val="en-US" w:eastAsia="zh-CN" w:bidi="ar"/>
              </w:rPr>
              <w:t>分），未及时到位并影响项目进度（</w:t>
            </w:r>
            <w:r>
              <w:rPr>
                <w:rStyle w:val="15"/>
                <w:rFonts w:eastAsia="宋体"/>
                <w:lang w:val="en-US" w:eastAsia="zh-CN" w:bidi="ar"/>
              </w:rPr>
              <w:t>0-1</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是否存在支出依据不合规、虚列项目支出的情况；是否存在截留、挤占、挪用项目资金情况；是否存在超标准开支情况。</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虚列（套取）扣</w:t>
            </w:r>
            <w:r>
              <w:rPr>
                <w:rStyle w:val="15"/>
                <w:rFonts w:eastAsia="宋体"/>
                <w:lang w:val="en-US" w:eastAsia="zh-CN" w:bidi="ar"/>
              </w:rPr>
              <w:t>4-7</w:t>
            </w:r>
            <w:r>
              <w:rPr>
                <w:rStyle w:val="14"/>
                <w:lang w:val="en-US" w:eastAsia="zh-CN" w:bidi="ar"/>
              </w:rPr>
              <w:t>分，支出依据不合规扣</w:t>
            </w:r>
            <w:r>
              <w:rPr>
                <w:rStyle w:val="15"/>
                <w:rFonts w:eastAsia="宋体"/>
                <w:lang w:val="en-US" w:eastAsia="zh-CN" w:bidi="ar"/>
              </w:rPr>
              <w:t>1</w:t>
            </w:r>
            <w:r>
              <w:rPr>
                <w:rStyle w:val="14"/>
                <w:lang w:val="en-US" w:eastAsia="zh-CN" w:bidi="ar"/>
              </w:rPr>
              <w:t>分，截留、挤占、挪用扣</w:t>
            </w:r>
            <w:r>
              <w:rPr>
                <w:rStyle w:val="15"/>
                <w:rFonts w:eastAsia="宋体"/>
                <w:lang w:val="en-US" w:eastAsia="zh-CN" w:bidi="ar"/>
              </w:rPr>
              <w:t>3-6</w:t>
            </w:r>
            <w:r>
              <w:rPr>
                <w:rStyle w:val="14"/>
                <w:lang w:val="en-US" w:eastAsia="zh-CN" w:bidi="ar"/>
              </w:rPr>
              <w:t>分，超标准开支扣</w:t>
            </w:r>
            <w:r>
              <w:rPr>
                <w:rStyle w:val="15"/>
                <w:rFonts w:eastAsia="宋体"/>
                <w:lang w:val="en-US" w:eastAsia="zh-CN" w:bidi="ar"/>
              </w:rPr>
              <w:t>2-5</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资金管理、费用支出等制度是否健全，是否严格执行；会计核算是否规范</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财务制度健全（</w:t>
            </w:r>
            <w:r>
              <w:rPr>
                <w:rStyle w:val="15"/>
                <w:rFonts w:eastAsia="宋体"/>
                <w:lang w:val="en-US" w:eastAsia="zh-CN" w:bidi="ar"/>
              </w:rPr>
              <w:t>1</w:t>
            </w:r>
            <w:r>
              <w:rPr>
                <w:rStyle w:val="14"/>
                <w:lang w:val="en-US" w:eastAsia="zh-CN" w:bidi="ar"/>
              </w:rPr>
              <w:t>分），严格执行制度（</w:t>
            </w:r>
            <w:r>
              <w:rPr>
                <w:rStyle w:val="15"/>
                <w:rFonts w:eastAsia="宋体"/>
                <w:lang w:val="en-US" w:eastAsia="zh-CN" w:bidi="ar"/>
              </w:rPr>
              <w:t>1</w:t>
            </w:r>
            <w:r>
              <w:rPr>
                <w:rStyle w:val="14"/>
                <w:lang w:val="en-US" w:eastAsia="zh-CN" w:bidi="ar"/>
              </w:rPr>
              <w:t>分），会计核算规范（</w:t>
            </w:r>
            <w:r>
              <w:rPr>
                <w:rStyle w:val="15"/>
                <w:rFonts w:eastAsia="宋体"/>
                <w:lang w:val="en-US" w:eastAsia="zh-CN" w:bidi="ar"/>
              </w:rPr>
              <w:t>1</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机构是否健全、分工是否明确。</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机构健全、分工明确（</w:t>
            </w:r>
            <w:r>
              <w:rPr>
                <w:rStyle w:val="15"/>
                <w:rFonts w:eastAsia="宋体"/>
                <w:lang w:val="en-US" w:eastAsia="zh-CN" w:bidi="ar"/>
              </w:rPr>
              <w:t>1</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是否建立健全项目管理制度；是否严格执行相关项目管理制度。</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建立健全项目管理制度（</w:t>
            </w:r>
            <w:r>
              <w:rPr>
                <w:rStyle w:val="15"/>
                <w:rFonts w:eastAsia="宋体"/>
                <w:lang w:val="en-US" w:eastAsia="zh-CN" w:bidi="ar"/>
              </w:rPr>
              <w:t>2</w:t>
            </w:r>
            <w:r>
              <w:rPr>
                <w:rStyle w:val="14"/>
                <w:lang w:val="en-US" w:eastAsia="zh-CN" w:bidi="ar"/>
              </w:rPr>
              <w:t>分），严格执行相关项目管理制度（</w:t>
            </w:r>
            <w:r>
              <w:rPr>
                <w:rStyle w:val="15"/>
                <w:rFonts w:eastAsia="宋体"/>
                <w:lang w:val="en-US" w:eastAsia="zh-CN" w:bidi="ar"/>
              </w:rPr>
              <w:t>7</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项目产出数量是否达到绩效目标。</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对照绩效目标评价产出数量（</w:t>
            </w:r>
            <w:r>
              <w:rPr>
                <w:rStyle w:val="15"/>
                <w:rFonts w:eastAsia="宋体"/>
                <w:lang w:val="en-US" w:eastAsia="zh-CN" w:bidi="ar"/>
              </w:rPr>
              <w:t>5</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项目产出质量是否达到绩效目标。</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对照绩效目标评价产出时效（</w:t>
            </w:r>
            <w:r>
              <w:rPr>
                <w:rStyle w:val="15"/>
                <w:rFonts w:eastAsia="宋体"/>
                <w:lang w:val="en-US" w:eastAsia="zh-CN" w:bidi="ar"/>
              </w:rPr>
              <w:t>3</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项目产出时效是否达到绩效目标。</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对照绩效目标评价产出时效（</w:t>
            </w:r>
            <w:r>
              <w:rPr>
                <w:rStyle w:val="15"/>
                <w:rFonts w:eastAsia="宋体"/>
                <w:lang w:val="en-US" w:eastAsia="zh-CN" w:bidi="ar"/>
              </w:rPr>
              <w:t>3</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产出成本</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项目产出成本是否按绩效目标控制。</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对照绩效目标评价产出成本（</w:t>
            </w:r>
            <w:r>
              <w:rPr>
                <w:rStyle w:val="15"/>
                <w:rFonts w:eastAsia="宋体"/>
                <w:lang w:val="en-US" w:eastAsia="zh-CN" w:bidi="ar"/>
              </w:rPr>
              <w:t>3</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项目实施是否产生直接或间接经济效益。</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对照绩效目标评价经济效益（</w:t>
            </w:r>
            <w:r>
              <w:rPr>
                <w:rStyle w:val="15"/>
                <w:rFonts w:eastAsia="宋体"/>
                <w:lang w:val="en-US" w:eastAsia="zh-CN" w:bidi="ar"/>
              </w:rPr>
              <w:t>8</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项目实施是否产生社会综合效益。</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对照绩效目标评价社会效益（</w:t>
            </w:r>
            <w:r>
              <w:rPr>
                <w:rStyle w:val="15"/>
                <w:rFonts w:eastAsia="宋体"/>
                <w:lang w:val="en-US" w:eastAsia="zh-CN" w:bidi="ar"/>
              </w:rPr>
              <w:t>8</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项目实施是否对环境产生积极或消极影响。</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对照绩效目标评价环境效益（</w:t>
            </w:r>
            <w:r>
              <w:rPr>
                <w:rStyle w:val="15"/>
                <w:rFonts w:eastAsia="宋体"/>
                <w:lang w:val="en-US" w:eastAsia="zh-CN" w:bidi="ar"/>
              </w:rPr>
              <w:t>8</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项目实施对人、自然、资源是否带来可持续影响。</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对照绩效目标评价可持续影响（</w:t>
            </w:r>
            <w:r>
              <w:rPr>
                <w:rStyle w:val="15"/>
                <w:rFonts w:eastAsia="宋体"/>
                <w:lang w:val="en-US" w:eastAsia="zh-CN" w:bidi="ar"/>
              </w:rPr>
              <w:t>8</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项目预期服务对象对项目实施的满意程度。</w:t>
            </w:r>
          </w:p>
        </w:tc>
        <w:tc>
          <w:tcPr>
            <w:tcW w:w="5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4"/>
                <w:lang w:val="en-US" w:eastAsia="zh-CN" w:bidi="ar"/>
              </w:rPr>
              <w:t>对照绩效目标评价服务对象满意度（</w:t>
            </w:r>
            <w:r>
              <w:rPr>
                <w:rStyle w:val="15"/>
                <w:rFonts w:eastAsia="宋体"/>
                <w:lang w:val="en-US" w:eastAsia="zh-CN" w:bidi="ar"/>
              </w:rPr>
              <w:t>8</w:t>
            </w:r>
            <w:r>
              <w:rPr>
                <w:rStyle w:val="14"/>
                <w:lang w:val="en-US" w:eastAsia="zh-CN" w:bidi="ar"/>
              </w:rPr>
              <w:t>分）。</w:t>
            </w: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5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55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c>
          <w:tcPr>
            <w:tcW w:w="4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222"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r>
    </w:tbl>
    <w:p>
      <w:pPr>
        <w:bidi w:val="0"/>
        <w:rPr>
          <w:rFonts w:hint="default"/>
          <w:lang w:val="en-US" w:eastAsia="zh-CN"/>
        </w:rPr>
      </w:pPr>
    </w:p>
    <w:sectPr>
      <w:footerReference r:id="rId3" w:type="default"/>
      <w:pgSz w:w="16838" w:h="11906" w:orient="landscape"/>
      <w:pgMar w:top="1134" w:right="1134" w:bottom="1134" w:left="1134" w:header="851" w:footer="992" w:gutter="0"/>
      <w:cols w:space="72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FangSong_GB2312">
    <w:altName w:val="方正仿宋_GBK"/>
    <w:panose1 w:val="00000000000000000000"/>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E1585"/>
    <w:multiLevelType w:val="singleLevel"/>
    <w:tmpl w:val="840E158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Y2Q3MTgxYmM2MTYzYzVlMDFiM2ZjODJlNzRhNzgifQ=="/>
  </w:docVars>
  <w:rsids>
    <w:rsidRoot w:val="00172A27"/>
    <w:rsid w:val="013E7AC7"/>
    <w:rsid w:val="01BE2D5A"/>
    <w:rsid w:val="029861A7"/>
    <w:rsid w:val="02A34C5F"/>
    <w:rsid w:val="03201C98"/>
    <w:rsid w:val="04425FE9"/>
    <w:rsid w:val="05A361EF"/>
    <w:rsid w:val="05C123A9"/>
    <w:rsid w:val="0603185D"/>
    <w:rsid w:val="066F0480"/>
    <w:rsid w:val="069C1222"/>
    <w:rsid w:val="06EA398A"/>
    <w:rsid w:val="07500C2E"/>
    <w:rsid w:val="07C42015"/>
    <w:rsid w:val="08BB4CF2"/>
    <w:rsid w:val="08BF7782"/>
    <w:rsid w:val="0A30541D"/>
    <w:rsid w:val="0CB657C6"/>
    <w:rsid w:val="0D2838E8"/>
    <w:rsid w:val="0DF72D4B"/>
    <w:rsid w:val="0F155897"/>
    <w:rsid w:val="0F782054"/>
    <w:rsid w:val="0FE232D7"/>
    <w:rsid w:val="103E70D0"/>
    <w:rsid w:val="10644984"/>
    <w:rsid w:val="106C7341"/>
    <w:rsid w:val="107226B0"/>
    <w:rsid w:val="10ED7ECB"/>
    <w:rsid w:val="11E06FA9"/>
    <w:rsid w:val="12172533"/>
    <w:rsid w:val="12E80C4A"/>
    <w:rsid w:val="13675281"/>
    <w:rsid w:val="13A721FF"/>
    <w:rsid w:val="13DB4F89"/>
    <w:rsid w:val="14557466"/>
    <w:rsid w:val="14AC6C95"/>
    <w:rsid w:val="151C034B"/>
    <w:rsid w:val="156715CA"/>
    <w:rsid w:val="15C66089"/>
    <w:rsid w:val="175306B7"/>
    <w:rsid w:val="17B24FAF"/>
    <w:rsid w:val="17DF5EC9"/>
    <w:rsid w:val="18037169"/>
    <w:rsid w:val="1980363C"/>
    <w:rsid w:val="19823B1B"/>
    <w:rsid w:val="1AAE67BE"/>
    <w:rsid w:val="1ABE6FE3"/>
    <w:rsid w:val="1AD05FDE"/>
    <w:rsid w:val="1BCF2DA5"/>
    <w:rsid w:val="1CC27AD1"/>
    <w:rsid w:val="1D7C428F"/>
    <w:rsid w:val="1D9C0305"/>
    <w:rsid w:val="1E0303BB"/>
    <w:rsid w:val="1E535630"/>
    <w:rsid w:val="1F085EE0"/>
    <w:rsid w:val="1FB95752"/>
    <w:rsid w:val="210C177B"/>
    <w:rsid w:val="21A86C72"/>
    <w:rsid w:val="21F62F01"/>
    <w:rsid w:val="23543D8C"/>
    <w:rsid w:val="23887FEE"/>
    <w:rsid w:val="23933B89"/>
    <w:rsid w:val="24317D36"/>
    <w:rsid w:val="25E40F1B"/>
    <w:rsid w:val="28D74A8E"/>
    <w:rsid w:val="28E042E2"/>
    <w:rsid w:val="29CB06AB"/>
    <w:rsid w:val="2A984622"/>
    <w:rsid w:val="2ABC5374"/>
    <w:rsid w:val="2B146097"/>
    <w:rsid w:val="2B1C41B0"/>
    <w:rsid w:val="2B585B55"/>
    <w:rsid w:val="2C543195"/>
    <w:rsid w:val="2EAF6BF3"/>
    <w:rsid w:val="2F052A80"/>
    <w:rsid w:val="3069714B"/>
    <w:rsid w:val="30B11BE5"/>
    <w:rsid w:val="30CC121C"/>
    <w:rsid w:val="31072E65"/>
    <w:rsid w:val="317821EF"/>
    <w:rsid w:val="31902C3E"/>
    <w:rsid w:val="31C26E15"/>
    <w:rsid w:val="324D79F5"/>
    <w:rsid w:val="32683364"/>
    <w:rsid w:val="32CF28C2"/>
    <w:rsid w:val="33A066C8"/>
    <w:rsid w:val="341328FE"/>
    <w:rsid w:val="342815E4"/>
    <w:rsid w:val="35A3362D"/>
    <w:rsid w:val="364A12E8"/>
    <w:rsid w:val="365B11C1"/>
    <w:rsid w:val="36C06BEC"/>
    <w:rsid w:val="37054B8B"/>
    <w:rsid w:val="37CB2439"/>
    <w:rsid w:val="386A515B"/>
    <w:rsid w:val="38E677D5"/>
    <w:rsid w:val="391F30E3"/>
    <w:rsid w:val="39A25466"/>
    <w:rsid w:val="39D57AEA"/>
    <w:rsid w:val="39E73ADD"/>
    <w:rsid w:val="3A96743D"/>
    <w:rsid w:val="3B2E0A9A"/>
    <w:rsid w:val="3C300DB8"/>
    <w:rsid w:val="3CCC762D"/>
    <w:rsid w:val="3E1875F9"/>
    <w:rsid w:val="3F134852"/>
    <w:rsid w:val="3F204B9E"/>
    <w:rsid w:val="3FA93C5C"/>
    <w:rsid w:val="3FD85D09"/>
    <w:rsid w:val="40117033"/>
    <w:rsid w:val="402C37E7"/>
    <w:rsid w:val="40557BBD"/>
    <w:rsid w:val="40E575B6"/>
    <w:rsid w:val="415E5FF2"/>
    <w:rsid w:val="41912E59"/>
    <w:rsid w:val="42C7362B"/>
    <w:rsid w:val="43155B26"/>
    <w:rsid w:val="43F839F3"/>
    <w:rsid w:val="467B616A"/>
    <w:rsid w:val="478A00BD"/>
    <w:rsid w:val="47DA38F3"/>
    <w:rsid w:val="48BA31C1"/>
    <w:rsid w:val="4A075347"/>
    <w:rsid w:val="4A273CC0"/>
    <w:rsid w:val="4A7455D7"/>
    <w:rsid w:val="4A831624"/>
    <w:rsid w:val="4AA549ED"/>
    <w:rsid w:val="4C6F174F"/>
    <w:rsid w:val="4CF76003"/>
    <w:rsid w:val="4D4F2595"/>
    <w:rsid w:val="4D951248"/>
    <w:rsid w:val="4DF80089"/>
    <w:rsid w:val="4F3B42FB"/>
    <w:rsid w:val="501C4516"/>
    <w:rsid w:val="505C103B"/>
    <w:rsid w:val="50874A7C"/>
    <w:rsid w:val="50926F7D"/>
    <w:rsid w:val="51EF4924"/>
    <w:rsid w:val="5219152A"/>
    <w:rsid w:val="52A707CD"/>
    <w:rsid w:val="54155AC4"/>
    <w:rsid w:val="54162067"/>
    <w:rsid w:val="544D0F4F"/>
    <w:rsid w:val="55A07CB5"/>
    <w:rsid w:val="569D3A25"/>
    <w:rsid w:val="56B20826"/>
    <w:rsid w:val="57062473"/>
    <w:rsid w:val="57A852D8"/>
    <w:rsid w:val="580A7BE8"/>
    <w:rsid w:val="58B040EC"/>
    <w:rsid w:val="58FD3402"/>
    <w:rsid w:val="593542E4"/>
    <w:rsid w:val="59E6188F"/>
    <w:rsid w:val="5AD83789"/>
    <w:rsid w:val="5B726329"/>
    <w:rsid w:val="5BD443CE"/>
    <w:rsid w:val="5C3C560E"/>
    <w:rsid w:val="5C606182"/>
    <w:rsid w:val="5D14783E"/>
    <w:rsid w:val="5D301AE5"/>
    <w:rsid w:val="5D334270"/>
    <w:rsid w:val="5D486349"/>
    <w:rsid w:val="5DCA70C9"/>
    <w:rsid w:val="5DF87710"/>
    <w:rsid w:val="5EF63DB3"/>
    <w:rsid w:val="5F4014D0"/>
    <w:rsid w:val="61980F92"/>
    <w:rsid w:val="627B0ECC"/>
    <w:rsid w:val="63AC6FA8"/>
    <w:rsid w:val="64330336"/>
    <w:rsid w:val="64510316"/>
    <w:rsid w:val="645706A8"/>
    <w:rsid w:val="645962D8"/>
    <w:rsid w:val="649B2F7D"/>
    <w:rsid w:val="64E32140"/>
    <w:rsid w:val="653448B6"/>
    <w:rsid w:val="65547BFE"/>
    <w:rsid w:val="65E968A5"/>
    <w:rsid w:val="65EC65C3"/>
    <w:rsid w:val="661C0CF6"/>
    <w:rsid w:val="662D0574"/>
    <w:rsid w:val="66826A61"/>
    <w:rsid w:val="66A948C2"/>
    <w:rsid w:val="69880225"/>
    <w:rsid w:val="69AD32FC"/>
    <w:rsid w:val="69C80956"/>
    <w:rsid w:val="6A5A093E"/>
    <w:rsid w:val="6C47554B"/>
    <w:rsid w:val="6C5076BD"/>
    <w:rsid w:val="6CC142A2"/>
    <w:rsid w:val="6CF22418"/>
    <w:rsid w:val="6D396136"/>
    <w:rsid w:val="6D8A46AE"/>
    <w:rsid w:val="6DCA1178"/>
    <w:rsid w:val="6E6C47BE"/>
    <w:rsid w:val="6EA00679"/>
    <w:rsid w:val="6F611535"/>
    <w:rsid w:val="70170310"/>
    <w:rsid w:val="710B2708"/>
    <w:rsid w:val="71BA4F6F"/>
    <w:rsid w:val="72F260C3"/>
    <w:rsid w:val="73972FFE"/>
    <w:rsid w:val="74056784"/>
    <w:rsid w:val="74823C8D"/>
    <w:rsid w:val="76DC4D6B"/>
    <w:rsid w:val="76E81511"/>
    <w:rsid w:val="77E963DD"/>
    <w:rsid w:val="78675726"/>
    <w:rsid w:val="795379F2"/>
    <w:rsid w:val="797353EC"/>
    <w:rsid w:val="79A407B3"/>
    <w:rsid w:val="7BAA698E"/>
    <w:rsid w:val="7BE063D3"/>
    <w:rsid w:val="7C94315B"/>
    <w:rsid w:val="7DA44723"/>
    <w:rsid w:val="7E576F8D"/>
    <w:rsid w:val="7F737DF6"/>
    <w:rsid w:val="85F2E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1"/>
    <w:qFormat/>
    <w:uiPriority w:val="0"/>
    <w:pPr>
      <w:snapToGrid w:val="0"/>
      <w:jc w:val="left"/>
    </w:pPr>
    <w:rPr>
      <w:sz w:val="32"/>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paragraph" w:customStyle="1" w:styleId="11">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样式1"/>
    <w:basedOn w:val="1"/>
    <w:qFormat/>
    <w:uiPriority w:val="0"/>
  </w:style>
  <w:style w:type="character" w:customStyle="1" w:styleId="14">
    <w:name w:val="font11"/>
    <w:basedOn w:val="9"/>
    <w:qFormat/>
    <w:uiPriority w:val="0"/>
    <w:rPr>
      <w:rFonts w:hint="eastAsia" w:ascii="宋体" w:hAnsi="宋体" w:eastAsia="宋体" w:cs="宋体"/>
      <w:color w:val="000000"/>
      <w:sz w:val="20"/>
      <w:szCs w:val="20"/>
      <w:u w:val="none"/>
    </w:rPr>
  </w:style>
  <w:style w:type="character" w:customStyle="1" w:styleId="15">
    <w:name w:val="font51"/>
    <w:basedOn w:val="9"/>
    <w:qFormat/>
    <w:uiPriority w:val="0"/>
    <w:rPr>
      <w:rFonts w:ascii="Calibri" w:hAnsi="Calibri" w:cs="Calibri"/>
      <w:color w:val="000000"/>
      <w:sz w:val="20"/>
      <w:szCs w:val="20"/>
      <w:u w:val="none"/>
    </w:rPr>
  </w:style>
  <w:style w:type="character" w:customStyle="1" w:styleId="16">
    <w:name w:val="font21"/>
    <w:basedOn w:val="9"/>
    <w:qFormat/>
    <w:uiPriority w:val="0"/>
    <w:rPr>
      <w:rFonts w:hint="eastAsia" w:ascii="宋体" w:hAnsi="宋体" w:eastAsia="宋体" w:cs="宋体"/>
      <w:b/>
      <w:bCs/>
      <w:color w:val="000000"/>
      <w:sz w:val="18"/>
      <w:szCs w:val="18"/>
      <w:u w:val="none"/>
    </w:rPr>
  </w:style>
  <w:style w:type="character" w:customStyle="1" w:styleId="17">
    <w:name w:val="font41"/>
    <w:basedOn w:val="9"/>
    <w:qFormat/>
    <w:uiPriority w:val="0"/>
    <w:rPr>
      <w:rFonts w:hint="eastAsia" w:ascii="宋体" w:hAnsi="宋体" w:eastAsia="宋体" w:cs="宋体"/>
      <w:b/>
      <w:bCs/>
      <w:color w:val="000000"/>
      <w:sz w:val="21"/>
      <w:szCs w:val="21"/>
      <w:u w:val="none"/>
    </w:rPr>
  </w:style>
  <w:style w:type="character" w:customStyle="1" w:styleId="18">
    <w:name w:val="font31"/>
    <w:basedOn w:val="9"/>
    <w:qFormat/>
    <w:uiPriority w:val="0"/>
    <w:rPr>
      <w:rFonts w:hint="eastAsia" w:ascii="宋体" w:hAnsi="宋体" w:eastAsia="宋体" w:cs="宋体"/>
      <w:color w:val="000000"/>
      <w:sz w:val="21"/>
      <w:szCs w:val="21"/>
      <w:u w:val="none"/>
    </w:rPr>
  </w:style>
  <w:style w:type="character" w:customStyle="1" w:styleId="19">
    <w:name w:val="font71"/>
    <w:basedOn w:val="9"/>
    <w:qFormat/>
    <w:uiPriority w:val="0"/>
    <w:rPr>
      <w:rFonts w:hint="eastAsia" w:ascii="宋体" w:hAnsi="宋体" w:eastAsia="宋体" w:cs="宋体"/>
      <w:color w:val="000000"/>
      <w:sz w:val="18"/>
      <w:szCs w:val="18"/>
      <w:u w:val="none"/>
    </w:rPr>
  </w:style>
  <w:style w:type="character" w:customStyle="1" w:styleId="20">
    <w:name w:val="font81"/>
    <w:basedOn w:val="9"/>
    <w:qFormat/>
    <w:uiPriority w:val="0"/>
    <w:rPr>
      <w:rFonts w:hint="eastAsia" w:ascii="宋体" w:hAnsi="宋体" w:eastAsia="宋体" w:cs="宋体"/>
      <w:color w:val="000000"/>
      <w:sz w:val="18"/>
      <w:szCs w:val="18"/>
      <w:u w:val="none"/>
    </w:rPr>
  </w:style>
  <w:style w:type="character" w:customStyle="1" w:styleId="21">
    <w:name w:val="font9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53</Pages>
  <Words>2045</Words>
  <Characters>2263</Characters>
  <Lines>0</Lines>
  <Paragraphs>0</Paragraphs>
  <TotalTime>3</TotalTime>
  <ScaleCrop>false</ScaleCrop>
  <LinksUpToDate>false</LinksUpToDate>
  <CharactersWithSpaces>2293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唐成</cp:lastModifiedBy>
  <cp:lastPrinted>2023-07-20T09:40:00Z</cp:lastPrinted>
  <dcterms:modified xsi:type="dcterms:W3CDTF">2025-06-11T09:47:38Z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74BD58A4632444939FD3E6191DF37C89_13</vt:lpwstr>
  </property>
  <property fmtid="{D5CDD505-2E9C-101B-9397-08002B2CF9AE}" pid="4" name="KSOTemplateDocerSaveRecord">
    <vt:lpwstr>eyJoZGlkIjoiMTNiY2Q3MTgxYmM2MTYzYzVlMDFiM2ZjODJlNzRhNzgiLCJ1c2VySWQiOiI5Njk5MTAwOTIifQ==</vt:lpwstr>
  </property>
</Properties>
</file>